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501" w:rsidRPr="00975A46" w:rsidRDefault="00FC7501" w:rsidP="00764461">
      <w:pPr>
        <w:pStyle w:val="Heading1"/>
        <w:rPr>
          <w:sz w:val="32"/>
        </w:rPr>
      </w:pPr>
      <w:r w:rsidRPr="00975A46">
        <w:rPr>
          <w:sz w:val="32"/>
        </w:rPr>
        <w:t>Return on Investment</w:t>
      </w:r>
      <w:r w:rsidR="00653BC8" w:rsidRPr="00975A46">
        <w:rPr>
          <w:sz w:val="32"/>
        </w:rPr>
        <w:t xml:space="preserve"> Estimation</w:t>
      </w:r>
    </w:p>
    <w:p w:rsidR="008B6C3F" w:rsidRPr="00FC7501" w:rsidRDefault="005824D9" w:rsidP="00132D77">
      <w:r w:rsidRPr="00FC7501">
        <w:rPr>
          <w:b/>
        </w:rPr>
        <w:t xml:space="preserve">What </w:t>
      </w:r>
      <w:r w:rsidR="00FC7501">
        <w:rPr>
          <w:b/>
        </w:rPr>
        <w:t xml:space="preserve">is </w:t>
      </w:r>
      <w:r w:rsidR="00143E98">
        <w:rPr>
          <w:b/>
        </w:rPr>
        <w:t xml:space="preserve">the </w:t>
      </w:r>
      <w:r w:rsidR="007466AF">
        <w:rPr>
          <w:b/>
        </w:rPr>
        <w:t>purpose</w:t>
      </w:r>
      <w:r w:rsidR="00143E98">
        <w:rPr>
          <w:b/>
        </w:rPr>
        <w:t xml:space="preserve"> of </w:t>
      </w:r>
      <w:r w:rsidR="00FC7501">
        <w:rPr>
          <w:b/>
        </w:rPr>
        <w:t>this tool?</w:t>
      </w:r>
      <w:r w:rsidR="00381E52">
        <w:t xml:space="preserve"> </w:t>
      </w:r>
      <w:r w:rsidR="004E7053" w:rsidRPr="00FC7501">
        <w:t xml:space="preserve">When </w:t>
      </w:r>
      <w:r w:rsidR="00EA0E46" w:rsidRPr="00FC7501">
        <w:t>your</w:t>
      </w:r>
      <w:r w:rsidR="004E7053" w:rsidRPr="00FC7501">
        <w:t xml:space="preserve"> hospital invests in a new program, quality improvement intervention, or technology, </w:t>
      </w:r>
      <w:r w:rsidR="00FD6A45">
        <w:t>leaders</w:t>
      </w:r>
      <w:r w:rsidR="00FD6A45" w:rsidRPr="00FC7501">
        <w:t xml:space="preserve"> </w:t>
      </w:r>
      <w:r w:rsidR="00EA0E46" w:rsidRPr="00FC7501">
        <w:t xml:space="preserve">often </w:t>
      </w:r>
      <w:r w:rsidR="00FD6A45">
        <w:t>need</w:t>
      </w:r>
      <w:r w:rsidR="00FD6A45" w:rsidRPr="00FC7501">
        <w:t xml:space="preserve"> </w:t>
      </w:r>
      <w:r w:rsidR="004E7053" w:rsidRPr="00FC7501">
        <w:t xml:space="preserve">to know what kind of </w:t>
      </w:r>
      <w:r w:rsidR="00D76264" w:rsidRPr="00FC7501">
        <w:t xml:space="preserve">financial </w:t>
      </w:r>
      <w:r w:rsidR="004E7053" w:rsidRPr="00FC7501">
        <w:t xml:space="preserve">return </w:t>
      </w:r>
      <w:r w:rsidR="00FD6A45">
        <w:t xml:space="preserve">the </w:t>
      </w:r>
      <w:r w:rsidR="00646CDF">
        <w:t>investment</w:t>
      </w:r>
      <w:r w:rsidR="00FD6A45">
        <w:t xml:space="preserve"> </w:t>
      </w:r>
      <w:r w:rsidR="004E7053" w:rsidRPr="00FC7501">
        <w:t xml:space="preserve">will </w:t>
      </w:r>
      <w:r w:rsidR="00FD6A45">
        <w:t>yield</w:t>
      </w:r>
      <w:r w:rsidR="004E7053" w:rsidRPr="00FC7501">
        <w:t>. A r</w:t>
      </w:r>
      <w:r w:rsidR="009A2326" w:rsidRPr="00FC7501">
        <w:t>eturn on investment (</w:t>
      </w:r>
      <w:r w:rsidR="00BB6C60" w:rsidRPr="00FC7501">
        <w:t>ROI</w:t>
      </w:r>
      <w:r w:rsidR="009A2326" w:rsidRPr="00FC7501">
        <w:t>)</w:t>
      </w:r>
      <w:r w:rsidR="00BB6C60" w:rsidRPr="00FC7501">
        <w:t xml:space="preserve"> </w:t>
      </w:r>
      <w:r w:rsidR="004E7053" w:rsidRPr="00FC7501">
        <w:t xml:space="preserve">analysis is a </w:t>
      </w:r>
      <w:r w:rsidR="00BC425E">
        <w:t>way</w:t>
      </w:r>
      <w:r w:rsidR="004E7053" w:rsidRPr="00FC7501">
        <w:t xml:space="preserve"> </w:t>
      </w:r>
      <w:r w:rsidR="00BC425E">
        <w:t>to</w:t>
      </w:r>
      <w:r w:rsidR="004E7053" w:rsidRPr="00FC7501">
        <w:t xml:space="preserve"> </w:t>
      </w:r>
      <w:r w:rsidR="00BB6C60" w:rsidRPr="00FC7501">
        <w:t>calculat</w:t>
      </w:r>
      <w:r w:rsidR="00BC425E">
        <w:t>e</w:t>
      </w:r>
      <w:r w:rsidR="004E7053" w:rsidRPr="00FC7501">
        <w:t xml:space="preserve"> </w:t>
      </w:r>
      <w:r w:rsidR="00E921B2" w:rsidRPr="00FC7501">
        <w:t>your</w:t>
      </w:r>
      <w:r w:rsidR="004E7053" w:rsidRPr="00FC7501">
        <w:t xml:space="preserve"> net </w:t>
      </w:r>
      <w:r w:rsidR="00BB6C60" w:rsidRPr="00FC7501">
        <w:t>financial gains</w:t>
      </w:r>
      <w:r w:rsidR="00D76264" w:rsidRPr="00FC7501">
        <w:t xml:space="preserve"> (or losses)</w:t>
      </w:r>
      <w:r w:rsidR="00E921B2" w:rsidRPr="00FC7501">
        <w:t>,</w:t>
      </w:r>
      <w:r w:rsidR="00BB6C60" w:rsidRPr="00FC7501">
        <w:t xml:space="preserve"> </w:t>
      </w:r>
      <w:r w:rsidR="004E7053" w:rsidRPr="00FC7501">
        <w:t xml:space="preserve">taking into account all the </w:t>
      </w:r>
      <w:r w:rsidR="0095050A" w:rsidRPr="00FC7501">
        <w:t xml:space="preserve">resources </w:t>
      </w:r>
      <w:r w:rsidR="004E7053" w:rsidRPr="00FC7501">
        <w:t xml:space="preserve">invested and </w:t>
      </w:r>
      <w:r w:rsidR="00D76264" w:rsidRPr="00FC7501">
        <w:t xml:space="preserve">all </w:t>
      </w:r>
      <w:r w:rsidR="004E7053" w:rsidRPr="00FC7501">
        <w:t>the amounts gained through increased revenue, reduced costs, or both</w:t>
      </w:r>
      <w:r w:rsidR="00BB6C60" w:rsidRPr="00FC7501">
        <w:t>.</w:t>
      </w:r>
      <w:r w:rsidR="00381E52">
        <w:t xml:space="preserve"> </w:t>
      </w:r>
    </w:p>
    <w:p w:rsidR="00B63550" w:rsidRPr="00FC7501" w:rsidRDefault="00B63550" w:rsidP="00764461">
      <w:r w:rsidRPr="00FC7501">
        <w:t xml:space="preserve">This tool provides a step-by-step method for calculating the ROI for a new set of actions implemented to improve performance on one or more of the </w:t>
      </w:r>
      <w:r w:rsidR="00BC425E">
        <w:t xml:space="preserve">AHRQ </w:t>
      </w:r>
      <w:r w:rsidRPr="00FC7501">
        <w:t xml:space="preserve">Quality Indicators </w:t>
      </w:r>
      <w:r w:rsidR="00D76264" w:rsidRPr="00FC7501">
        <w:t>(QIs)</w:t>
      </w:r>
      <w:r w:rsidRPr="00FC7501">
        <w:t>.</w:t>
      </w:r>
      <w:r w:rsidR="00381E52">
        <w:t xml:space="preserve"> </w:t>
      </w:r>
      <w:r w:rsidR="003F4ABB" w:rsidRPr="00FC7501">
        <w:t xml:space="preserve">It also provides a case </w:t>
      </w:r>
      <w:r w:rsidR="00FD6A45">
        <w:t>study</w:t>
      </w:r>
      <w:r w:rsidR="00FD6A45" w:rsidRPr="00FC7501">
        <w:t xml:space="preserve"> </w:t>
      </w:r>
      <w:r w:rsidR="003F4ABB" w:rsidRPr="00FC7501">
        <w:t xml:space="preserve">of ROI calculated by a hospital for implementation of </w:t>
      </w:r>
      <w:r w:rsidR="00990B9D">
        <w:t>computerized physician order entry (</w:t>
      </w:r>
      <w:r w:rsidR="003F4ABB" w:rsidRPr="00FC7501">
        <w:t>CPOE</w:t>
      </w:r>
      <w:r w:rsidR="00990B9D">
        <w:t>)</w:t>
      </w:r>
      <w:r w:rsidR="003F4ABB" w:rsidRPr="00FC7501">
        <w:t>.</w:t>
      </w:r>
    </w:p>
    <w:p w:rsidR="001B6712" w:rsidRDefault="001B6712" w:rsidP="00132D77">
      <w:pPr>
        <w:rPr>
          <w:b/>
        </w:rPr>
      </w:pPr>
      <w:r>
        <w:rPr>
          <w:b/>
        </w:rPr>
        <w:t>Who are the target audiences?</w:t>
      </w:r>
      <w:r w:rsidRPr="00653E2C">
        <w:t xml:space="preserve"> </w:t>
      </w:r>
      <w:r w:rsidR="004848E3">
        <w:t>Potential users of this tool include</w:t>
      </w:r>
      <w:r w:rsidR="00CF3425">
        <w:t xml:space="preserve"> individuals who will contribute to </w:t>
      </w:r>
      <w:r w:rsidR="00975A46">
        <w:t xml:space="preserve">ROI calculations, which </w:t>
      </w:r>
      <w:r w:rsidR="00FD6A45">
        <w:t>may include hospital or health system</w:t>
      </w:r>
      <w:r w:rsidRPr="00FC7501">
        <w:t xml:space="preserve"> financial</w:t>
      </w:r>
      <w:r w:rsidR="00FD6A45">
        <w:t>,</w:t>
      </w:r>
      <w:r w:rsidRPr="00FC7501">
        <w:t xml:space="preserve"> quality</w:t>
      </w:r>
      <w:r w:rsidR="00381E52">
        <w:t>,</w:t>
      </w:r>
      <w:r w:rsidRPr="00FC7501">
        <w:t xml:space="preserve"> </w:t>
      </w:r>
      <w:r w:rsidR="00FD6A45">
        <w:t xml:space="preserve">or analytic </w:t>
      </w:r>
      <w:r w:rsidRPr="00FC7501">
        <w:t>staff</w:t>
      </w:r>
      <w:r w:rsidR="00284BF9">
        <w:t>,</w:t>
      </w:r>
      <w:r w:rsidR="00D65C9D">
        <w:t xml:space="preserve"> </w:t>
      </w:r>
      <w:r w:rsidR="00FD6A45">
        <w:t>as well as</w:t>
      </w:r>
      <w:r>
        <w:t xml:space="preserve"> </w:t>
      </w:r>
      <w:r w:rsidR="00284BF9" w:rsidRPr="00FC7501">
        <w:t>statisticians, data analysts, and programmers</w:t>
      </w:r>
      <w:r w:rsidR="00FD6A45">
        <w:t>.</w:t>
      </w:r>
    </w:p>
    <w:p w:rsidR="00E00B1E" w:rsidRPr="00FC7501" w:rsidRDefault="005824D9" w:rsidP="00132D77">
      <w:r w:rsidRPr="00FC7501">
        <w:rPr>
          <w:b/>
        </w:rPr>
        <w:t xml:space="preserve">How </w:t>
      </w:r>
      <w:r w:rsidR="00FC7501">
        <w:rPr>
          <w:b/>
        </w:rPr>
        <w:t>can the tool help you</w:t>
      </w:r>
      <w:r w:rsidR="00BB6C60" w:rsidRPr="00FC7501">
        <w:rPr>
          <w:b/>
        </w:rPr>
        <w:t>?</w:t>
      </w:r>
      <w:r w:rsidR="00381E52">
        <w:t xml:space="preserve"> </w:t>
      </w:r>
      <w:r w:rsidR="00770D86">
        <w:t xml:space="preserve">Examining </w:t>
      </w:r>
      <w:r w:rsidR="00C36C96">
        <w:t>anticipated financial outcome data</w:t>
      </w:r>
      <w:r w:rsidR="00381E52">
        <w:t xml:space="preserve"> </w:t>
      </w:r>
      <w:r w:rsidR="00C36C96">
        <w:t xml:space="preserve">can help hospital and health system leadership make more informed decisions when prioritizing resources for </w:t>
      </w:r>
      <w:r w:rsidR="00770D86">
        <w:t>quality</w:t>
      </w:r>
      <w:r w:rsidR="00C36C96">
        <w:t xml:space="preserve"> improvement initiatives</w:t>
      </w:r>
      <w:r w:rsidR="004011D2" w:rsidRPr="00FC7501">
        <w:t>.</w:t>
      </w:r>
      <w:r w:rsidR="00381E52">
        <w:t xml:space="preserve"> </w:t>
      </w:r>
      <w:r w:rsidR="00113556" w:rsidRPr="00FC7501">
        <w:t xml:space="preserve">ROI </w:t>
      </w:r>
      <w:r w:rsidR="00770D86">
        <w:t xml:space="preserve">also </w:t>
      </w:r>
      <w:r w:rsidR="00113556" w:rsidRPr="00FC7501">
        <w:t xml:space="preserve">can be used as </w:t>
      </w:r>
      <w:r w:rsidR="00770D86">
        <w:t>an</w:t>
      </w:r>
      <w:r w:rsidR="00113556" w:rsidRPr="00FC7501">
        <w:t xml:space="preserve"> evaluation tool</w:t>
      </w:r>
      <w:r w:rsidR="00770D86">
        <w:t xml:space="preserve"> to examine the cost of an initiative after implementation</w:t>
      </w:r>
      <w:r w:rsidR="00113556" w:rsidRPr="00FC7501">
        <w:t>.</w:t>
      </w:r>
      <w:r w:rsidR="00381E52">
        <w:t xml:space="preserve"> </w:t>
      </w:r>
    </w:p>
    <w:p w:rsidR="00E00B1E" w:rsidRPr="00FC7501" w:rsidRDefault="00F36E7E" w:rsidP="00764461">
      <w:proofErr w:type="gramStart"/>
      <w:r w:rsidRPr="00FC7501">
        <w:rPr>
          <w:i/>
        </w:rPr>
        <w:t xml:space="preserve">Using </w:t>
      </w:r>
      <w:r w:rsidR="00E00B1E" w:rsidRPr="00FC7501">
        <w:rPr>
          <w:i/>
        </w:rPr>
        <w:t>ROI as a planning tool.</w:t>
      </w:r>
      <w:proofErr w:type="gramEnd"/>
      <w:r w:rsidR="00381E52">
        <w:t xml:space="preserve"> </w:t>
      </w:r>
      <w:r w:rsidR="00E00B1E" w:rsidRPr="00FC7501">
        <w:t>D</w:t>
      </w:r>
      <w:r w:rsidR="00063DDA" w:rsidRPr="00FC7501">
        <w:t xml:space="preserve">uring the planning process </w:t>
      </w:r>
      <w:r w:rsidR="00FD6A45">
        <w:t>th</w:t>
      </w:r>
      <w:r w:rsidR="0006532D">
        <w:t>at</w:t>
      </w:r>
      <w:r w:rsidR="00FD6A45">
        <w:t xml:space="preserve"> precedes</w:t>
      </w:r>
      <w:r w:rsidR="00FD6A45" w:rsidRPr="00FC7501">
        <w:t xml:space="preserve"> </w:t>
      </w:r>
      <w:r w:rsidR="001B6712" w:rsidRPr="00FC7501">
        <w:t>implement</w:t>
      </w:r>
      <w:r w:rsidR="00FD6A45">
        <w:t>ation of</w:t>
      </w:r>
      <w:r w:rsidR="001B6712" w:rsidRPr="00FC7501">
        <w:t xml:space="preserve"> </w:t>
      </w:r>
      <w:r w:rsidR="004011D2" w:rsidRPr="00FC7501">
        <w:t>improvement</w:t>
      </w:r>
      <w:r w:rsidR="0095050A" w:rsidRPr="00FC7501">
        <w:t xml:space="preserve"> action</w:t>
      </w:r>
      <w:r w:rsidR="00063DDA" w:rsidRPr="00FC7501">
        <w:t>s</w:t>
      </w:r>
      <w:r w:rsidR="00E00B1E" w:rsidRPr="00FC7501">
        <w:t>, projected ROI</w:t>
      </w:r>
      <w:r w:rsidR="004011D2" w:rsidRPr="00FC7501">
        <w:t xml:space="preserve"> </w:t>
      </w:r>
      <w:r w:rsidR="001B6712">
        <w:t xml:space="preserve">can be </w:t>
      </w:r>
      <w:r w:rsidR="00C36C96">
        <w:t xml:space="preserve">used </w:t>
      </w:r>
      <w:r w:rsidR="009A2326" w:rsidRPr="00FC7501">
        <w:t xml:space="preserve">to </w:t>
      </w:r>
      <w:r w:rsidR="00063DDA" w:rsidRPr="00FC7501">
        <w:t>estimate</w:t>
      </w:r>
      <w:r w:rsidR="009A2326" w:rsidRPr="00FC7501">
        <w:t xml:space="preserve"> </w:t>
      </w:r>
      <w:r w:rsidR="00C36C96">
        <w:t xml:space="preserve">how the planned intervention will affect revenue and operating costs and to </w:t>
      </w:r>
      <w:r w:rsidR="00041AA3">
        <w:t>adjust</w:t>
      </w:r>
      <w:r w:rsidR="00C36C96">
        <w:t xml:space="preserve"> the intervention to better optimize both quality and financial performance. In addition, ROI can be used to s</w:t>
      </w:r>
      <w:r w:rsidR="009A2326" w:rsidRPr="00FC7501">
        <w:t xml:space="preserve">how </w:t>
      </w:r>
      <w:r w:rsidR="002C6BCE">
        <w:t xml:space="preserve">how </w:t>
      </w:r>
      <w:r w:rsidR="009A2326" w:rsidRPr="00FC7501">
        <w:t>long it will take for an intervention to break even</w:t>
      </w:r>
      <w:r w:rsidR="00990B9D">
        <w:t>—</w:t>
      </w:r>
      <w:r w:rsidR="00EA0E46" w:rsidRPr="00FC7501">
        <w:t xml:space="preserve">that </w:t>
      </w:r>
      <w:r w:rsidR="00063DDA" w:rsidRPr="00FC7501">
        <w:t>is,</w:t>
      </w:r>
      <w:r w:rsidR="009A2326" w:rsidRPr="00FC7501">
        <w:t xml:space="preserve"> for the returns of the practice</w:t>
      </w:r>
      <w:r w:rsidR="00063DDA" w:rsidRPr="00FC7501">
        <w:t xml:space="preserve"> improvement</w:t>
      </w:r>
      <w:r w:rsidR="009A2326" w:rsidRPr="00FC7501">
        <w:t xml:space="preserve"> to offset the upfront and ongoing implementation costs.</w:t>
      </w:r>
      <w:r w:rsidR="00381E52">
        <w:t xml:space="preserve"> </w:t>
      </w:r>
      <w:r w:rsidR="00F458B7" w:rsidRPr="00FC7501">
        <w:t xml:space="preserve">This </w:t>
      </w:r>
      <w:r w:rsidR="00990B9D">
        <w:t xml:space="preserve">analysis </w:t>
      </w:r>
      <w:r w:rsidR="00F458B7" w:rsidRPr="00FC7501">
        <w:t xml:space="preserve">can be done using data from the </w:t>
      </w:r>
      <w:proofErr w:type="gramStart"/>
      <w:r w:rsidR="00F458B7" w:rsidRPr="00FC7501">
        <w:t>literature</w:t>
      </w:r>
      <w:proofErr w:type="gramEnd"/>
      <w:r w:rsidR="00F458B7" w:rsidRPr="00FC7501">
        <w:t>.</w:t>
      </w:r>
    </w:p>
    <w:p w:rsidR="00BB6C60" w:rsidRPr="00FC7501" w:rsidRDefault="00F36E7E" w:rsidP="00764461">
      <w:proofErr w:type="gramStart"/>
      <w:r w:rsidRPr="00FC7501">
        <w:rPr>
          <w:i/>
        </w:rPr>
        <w:t xml:space="preserve">Using </w:t>
      </w:r>
      <w:r w:rsidR="00E00B1E" w:rsidRPr="00FC7501">
        <w:rPr>
          <w:i/>
        </w:rPr>
        <w:t>ROI as an evaluation tool.</w:t>
      </w:r>
      <w:proofErr w:type="gramEnd"/>
      <w:r w:rsidR="00381E52">
        <w:t xml:space="preserve"> </w:t>
      </w:r>
      <w:r w:rsidR="001B6712">
        <w:t>Actual</w:t>
      </w:r>
      <w:r w:rsidR="00E00B1E" w:rsidRPr="00FC7501">
        <w:t xml:space="preserve"> </w:t>
      </w:r>
      <w:r w:rsidR="009A2326" w:rsidRPr="00FC7501">
        <w:t xml:space="preserve">ROI </w:t>
      </w:r>
      <w:r w:rsidR="001B6712">
        <w:t xml:space="preserve">can be calculated </w:t>
      </w:r>
      <w:r w:rsidR="009A2326" w:rsidRPr="00FC7501">
        <w:t>after a practice</w:t>
      </w:r>
      <w:r w:rsidR="00063DDA" w:rsidRPr="00FC7501">
        <w:t xml:space="preserve"> improvement</w:t>
      </w:r>
      <w:r w:rsidR="009A2326" w:rsidRPr="00FC7501">
        <w:t xml:space="preserve"> has been implemented to assess its value</w:t>
      </w:r>
      <w:r w:rsidR="00E00B1E" w:rsidRPr="00FC7501">
        <w:t xml:space="preserve"> and </w:t>
      </w:r>
      <w:r w:rsidR="00472D83" w:rsidRPr="00FC7501">
        <w:t>inform decisions</w:t>
      </w:r>
      <w:r w:rsidR="00E00B1E" w:rsidRPr="00FC7501">
        <w:t xml:space="preserve"> on future improvement actions</w:t>
      </w:r>
      <w:r w:rsidR="009A2326" w:rsidRPr="00FC7501">
        <w:t>.</w:t>
      </w:r>
      <w:r w:rsidR="00381E52">
        <w:t xml:space="preserve"> </w:t>
      </w:r>
      <w:r w:rsidR="00F458B7" w:rsidRPr="00FC7501">
        <w:t xml:space="preserve">This </w:t>
      </w:r>
      <w:r w:rsidR="00990B9D">
        <w:t xml:space="preserve">analysis </w:t>
      </w:r>
      <w:r w:rsidR="00F458B7" w:rsidRPr="00FC7501">
        <w:t xml:space="preserve">can be done using actual </w:t>
      </w:r>
      <w:r w:rsidR="00D83221" w:rsidRPr="00FC7501">
        <w:t xml:space="preserve">data from your </w:t>
      </w:r>
      <w:r w:rsidR="00F458B7" w:rsidRPr="00FC7501">
        <w:t>hospital.</w:t>
      </w:r>
      <w:r w:rsidR="00381E52">
        <w:t xml:space="preserve"> </w:t>
      </w:r>
    </w:p>
    <w:p w:rsidR="00EE3F61" w:rsidRPr="00EE3F61" w:rsidRDefault="00F35D37" w:rsidP="00EE3F61">
      <w:pPr>
        <w:rPr>
          <w:b/>
        </w:rPr>
        <w:sectPr w:rsidR="00EE3F61" w:rsidRPr="00EE3F61" w:rsidSect="00EE3F6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fmt="lowerRoman"/>
          <w:cols w:space="720"/>
          <w:docGrid w:linePitch="360"/>
        </w:sectPr>
      </w:pPr>
      <w:r w:rsidRPr="00F35D37">
        <w:rPr>
          <w:b/>
        </w:rPr>
        <w:t>How does this tool relate to other</w:t>
      </w:r>
      <w:r w:rsidR="0006532D">
        <w:rPr>
          <w:b/>
        </w:rPr>
        <w:t xml:space="preserve"> tool</w:t>
      </w:r>
      <w:r w:rsidRPr="00F35D37">
        <w:rPr>
          <w:b/>
        </w:rPr>
        <w:t>s</w:t>
      </w:r>
      <w:r w:rsidR="0006532D">
        <w:rPr>
          <w:b/>
        </w:rPr>
        <w:t xml:space="preserve"> in the </w:t>
      </w:r>
      <w:r w:rsidR="00AA4416">
        <w:rPr>
          <w:b/>
        </w:rPr>
        <w:t>Toolkit?</w:t>
      </w:r>
      <w:r w:rsidR="00381E52">
        <w:t xml:space="preserve"> </w:t>
      </w:r>
      <w:r>
        <w:t xml:space="preserve">The ROI tool is used </w:t>
      </w:r>
      <w:r w:rsidR="001653D9">
        <w:t>as a planning tool</w:t>
      </w:r>
      <w:r>
        <w:t xml:space="preserve"> </w:t>
      </w:r>
      <w:r w:rsidR="001653D9">
        <w:t>to develop cost and return information for use</w:t>
      </w:r>
      <w:r>
        <w:t xml:space="preserve"> in setting priorities for improvements on the</w:t>
      </w:r>
      <w:r w:rsidR="000047AB">
        <w:t xml:space="preserve"> AHRQ </w:t>
      </w:r>
      <w:r w:rsidR="00975A46">
        <w:t>QIs</w:t>
      </w:r>
      <w:r w:rsidR="00297219">
        <w:t>,</w:t>
      </w:r>
      <w:r w:rsidR="000047AB">
        <w:t xml:space="preserve"> </w:t>
      </w:r>
      <w:r w:rsidR="001653D9">
        <w:t>with</w:t>
      </w:r>
      <w:r>
        <w:t xml:space="preserve"> the results of the</w:t>
      </w:r>
      <w:r w:rsidR="001653D9">
        <w:t>se</w:t>
      </w:r>
      <w:r>
        <w:t xml:space="preserve"> analyses</w:t>
      </w:r>
      <w:r w:rsidR="001653D9">
        <w:t xml:space="preserve"> applied</w:t>
      </w:r>
      <w:r>
        <w:t xml:space="preserve"> in the Prioritization Matrix (Tool C.1).</w:t>
      </w:r>
      <w:r w:rsidR="00381E52">
        <w:t xml:space="preserve"> </w:t>
      </w:r>
      <w:r w:rsidR="001653D9">
        <w:t xml:space="preserve">It also can be used </w:t>
      </w:r>
      <w:r w:rsidR="009460B6">
        <w:t xml:space="preserve">as an evaluation tool </w:t>
      </w:r>
      <w:r w:rsidR="001653D9">
        <w:t xml:space="preserve">along with the </w:t>
      </w:r>
      <w:r w:rsidR="009460B6">
        <w:t>Project Evaluation and Debriefing tool (Tool D.8) to assess financial effects of the improvements implemented.</w:t>
      </w:r>
      <w:r w:rsidR="00381E52">
        <w:t xml:space="preserve"> </w:t>
      </w:r>
    </w:p>
    <w:p w:rsidR="00411C25" w:rsidRPr="00FC7501" w:rsidRDefault="00411C25" w:rsidP="00764461">
      <w:pPr>
        <w:pStyle w:val="Heading1"/>
      </w:pPr>
      <w:r w:rsidRPr="00FC7501">
        <w:lastRenderedPageBreak/>
        <w:t>Calculati</w:t>
      </w:r>
      <w:r w:rsidR="006A11EB" w:rsidRPr="00FC7501">
        <w:t>ng</w:t>
      </w:r>
      <w:r w:rsidRPr="00FC7501">
        <w:t xml:space="preserve"> and Interpret</w:t>
      </w:r>
      <w:r w:rsidR="006A11EB" w:rsidRPr="00FC7501">
        <w:t>ing</w:t>
      </w:r>
      <w:r w:rsidRPr="00FC7501">
        <w:t xml:space="preserve"> </w:t>
      </w:r>
      <w:r w:rsidR="00833E02">
        <w:t>Return on Investment (</w:t>
      </w:r>
      <w:r w:rsidRPr="00FC7501">
        <w:t>ROI</w:t>
      </w:r>
      <w:r w:rsidR="00833E02">
        <w:t>)</w:t>
      </w:r>
    </w:p>
    <w:p w:rsidR="00041077" w:rsidRPr="009E197E" w:rsidRDefault="00041077" w:rsidP="009E197E">
      <w:pPr>
        <w:autoSpaceDE w:val="0"/>
        <w:autoSpaceDN w:val="0"/>
        <w:adjustRightInd w:val="0"/>
        <w:spacing w:after="0"/>
      </w:pPr>
      <w:r w:rsidRPr="009E197E">
        <w:t>An ROI is calculated as the ratio of two financial estimates:</w:t>
      </w:r>
    </w:p>
    <w:p w:rsidR="00041077" w:rsidRPr="009E197E" w:rsidRDefault="00041077" w:rsidP="00990B9D">
      <w:pPr>
        <w:spacing w:after="0"/>
        <w:ind w:left="2520"/>
      </w:pPr>
    </w:p>
    <w:p w:rsidR="00990B9D" w:rsidRPr="009E197E" w:rsidRDefault="00990B9D" w:rsidP="00764461">
      <w:pPr>
        <w:spacing w:after="0"/>
        <w:jc w:val="center"/>
        <w:rPr>
          <w:rFonts w:ascii="Arial" w:hAnsi="Arial"/>
          <w:sz w:val="20"/>
          <w:szCs w:val="20"/>
        </w:rPr>
      </w:pPr>
      <w:r w:rsidRPr="009E197E">
        <w:rPr>
          <w:rFonts w:ascii="Arial" w:hAnsi="Arial"/>
          <w:sz w:val="20"/>
          <w:szCs w:val="20"/>
        </w:rPr>
        <w:t xml:space="preserve">ROI = Net </w:t>
      </w:r>
      <w:r w:rsidR="0006532D" w:rsidRPr="009E197E">
        <w:rPr>
          <w:rFonts w:ascii="Arial" w:hAnsi="Arial"/>
          <w:sz w:val="20"/>
          <w:szCs w:val="20"/>
        </w:rPr>
        <w:t xml:space="preserve">financial </w:t>
      </w:r>
      <w:r w:rsidRPr="009E197E">
        <w:rPr>
          <w:rFonts w:ascii="Arial" w:hAnsi="Arial"/>
          <w:sz w:val="20"/>
          <w:szCs w:val="20"/>
        </w:rPr>
        <w:t xml:space="preserve">returns from improvement actions / </w:t>
      </w:r>
      <w:r w:rsidR="0006532D" w:rsidRPr="009E197E">
        <w:rPr>
          <w:rFonts w:ascii="Arial" w:hAnsi="Arial"/>
          <w:sz w:val="20"/>
          <w:szCs w:val="20"/>
        </w:rPr>
        <w:t>Financial i</w:t>
      </w:r>
      <w:r w:rsidRPr="009E197E">
        <w:rPr>
          <w:rFonts w:ascii="Arial" w:hAnsi="Arial"/>
          <w:sz w:val="20"/>
          <w:szCs w:val="20"/>
        </w:rPr>
        <w:t>nvestment in improvement actions</w:t>
      </w:r>
    </w:p>
    <w:p w:rsidR="00990B9D" w:rsidRPr="009E197E" w:rsidRDefault="00990B9D" w:rsidP="00990B9D">
      <w:pPr>
        <w:spacing w:after="0"/>
        <w:ind w:left="2520"/>
      </w:pPr>
    </w:p>
    <w:p w:rsidR="00041077" w:rsidRPr="009E197E" w:rsidRDefault="00DC25B6" w:rsidP="00764461">
      <w:r>
        <w:rPr>
          <w:noProof/>
        </w:rPr>
        <w:pict>
          <v:shape id="Arc 14" o:spid="_x0000_s1026" style="position:absolute;margin-left:-44.65pt;margin-top:-257.2pt;width:21.6pt;height:21.6pt;flip:x;z-index:25166233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69iQMAACcJAAAOAAAAZHJzL2Uyb0RvYy54bWzUVlFv0zAQfkfiP1h5ROqStGm6VuvQaFdA&#10;AjaJ8gNcx2miJXaw3aYD8d+5s5Ms7ShCiBf6kNq9r5/vuzvf5er1oSzIniudSzH3wovAI1wwmeRi&#10;O/e+rFeDS49oQ0VCCyn43Hvk2nt9/fLFVV3N+FBmski4IkAi9Kyu5l5mTDXzfc0yXlJ9ISsuwJhK&#10;VVIDW7X1E0VrYC8LfxgEsV9LlVRKMq41/Lp0Ru/a8qcpZ+YuTTU3pJh74JuxT2WfG3z611d0tlW0&#10;ynLWuEH/wouS5gIO7aiW1FCyU/kzqjJnSmqZmgsmS1+mac641QBqwuBEzeeMVtxqgeDoqguT/ne0&#10;7NP+XpE8gdx5RNASUnSjGAkjjExd6RkAPlf3CrXp6oNkDxoM/pEFNxowZFN/lAkw0J2RNhqHVJUk&#10;LfLqHfIjBygmBxv+xy78/GAIgx+Hk2g0hCQxMDVrPIvOkAb/zHbavOXSrun+gzYuewmsbOyTRsEa&#10;SNKygES+8klAajIM46DNdQcCwT1Q9mvQsAdyPp2jGz1HnuGMesiz3o17oObgM3RxDxkQEBrAczwe&#10;xU1xd4InfwqEO9uLzAkj5GPbRpxmbRLYQTRZgBWhePvXsc14JTVmHHMCeV2H6BVwAMymtENPjtAQ&#10;d0SPzqEvj9AQUUSP+2h3RuOUgkZw2gKUR6AFbFyUKmpQC7qES1JDCdqiIVm3SvMCuoiAPgZN7mDU&#10;Dpve3QPWMf6vlHu+lpbBoOIBFBh4ZesOnHkys90mZ2/4tz44DKfD6RMevLAcjQ9AM40nTQWfWrri&#10;RsU9atiilN9K0kbJB7ixkJz/QBGdFaIfNFdSff2tvf12sTrJRGtkhdTcVaMLVBMxWwc2mE/tRsgV&#10;ZN/2m0JgdcSjsUu7lkWeoBEDrdV2sygU2VOcN/bT1OQRTMmdSCxZxmly26wNzQu3hsMLez0gKU1V&#10;YpO0A+X7NJjeXt5eRoNoGN8OomC5HNysFtEgXoWT8XK0XCyW4Q+syDCaZXmScIHetcMtjP5seDRj&#10;1o2lbrwdqTgSu7Kf52L9Yzfs3Qct7beLdTtB3MjZyOQRpomSblrD2wUsMqm+eaSGST339NcdVXAJ&#10;i/cCRuE0jCKoBGM30XiCI0T1LZu+hQoGVHPPeNClcLkw7nVgV6l8m8FJblAJeQNTLM1xxthx57xq&#10;NjCNrYLmzQHHfX9vUU/vN9c/AQAA//8DAFBLAwQUAAYACAAAACEACvjZ7eQAAAANAQAADwAAAGRy&#10;cy9kb3ducmV2LnhtbEyPwU6DQBCG7018h82YeKMLFSoiS2NMejFpGtse9LZlR0DZWcouFPv0bk96&#10;+yfz5Z9v8tWkWzZibxtDAqJ5CAypNKqhSsBhvw5SYNZJUrI1hAJ+0MKquJnlMlPmTG847lzFfAnZ&#10;TAqonesyzm1Zo5Z2bjokv/s0vZbOj33FVS/Pvly3fBGGS65lQ/5CLTt8qbH83g1aQPWVjsll3W0u&#10;p83+sH1XH8PrKRHi7nZ6fgLmcHJ/MFz1vToU3uloBlKWtQKC9PHeoz4kURwD80gQLyNgx2t4iBbA&#10;i5z//6L4BQAA//8DAFBLAQItABQABgAIAAAAIQC2gziS/gAAAOEBAAATAAAAAAAAAAAAAAAAAAAA&#10;AABbQ29udGVudF9UeXBlc10ueG1sUEsBAi0AFAAGAAgAAAAhADj9If/WAAAAlAEAAAsAAAAAAAAA&#10;AAAAAAAALwEAAF9yZWxzLy5yZWxzUEsBAi0AFAAGAAgAAAAhAAf6Xr2JAwAAJwkAAA4AAAAAAAAA&#10;AAAAAAAALgIAAGRycy9lMm9Eb2MueG1sUEsBAi0AFAAGAAgAAAAhAAr42e3kAAAADQEAAA8AAAAA&#10;AAAAAAAAAAAA4wUAAGRycy9kb3ducmV2LnhtbFBLBQYAAAAABAAEAPMAAAD0BgAAAAA=&#10;" o:allowincell="f" adj="0,,0" path="m-1,nfc11929,,21600,9670,21600,21600em-1,nsc11929,,21600,9670,21600,21600l,21600,-1,xe" filled="f" strokeweight=".5pt">
            <v:stroke joinstyle="round"/>
            <v:formulas/>
            <v:path arrowok="t" o:extrusionok="f" o:connecttype="custom" o:connectlocs="0,0;3483864,3483864;0,3483864" o:connectangles="0,0,0"/>
          </v:shape>
        </w:pict>
      </w:r>
      <w:r>
        <w:rPr>
          <w:noProof/>
        </w:rPr>
        <w:pict>
          <v:line id="Line 13" o:spid="_x0000_s1028" style="position:absolute;z-index:251661312;visibility:visible;mso-wrap-distance-top:-3e-5mm;mso-wrap-distance-bottom:-3e-5mm" from="-23.25pt,-257.25pt" to="494.9pt,-2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8w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sGlrTG1dARKV2NhRHz+rFbDX97pDSVUvUgUeKrxcDeVnISN6khI0zcMG+/6wZxJCj17FP&#10;58Z2ARI6gM5RjstdDn72iMLhfLZIZ+kMIzr4ElIMicY6/4nrDgWjxBJIR2By2jofiJBiCAn3KL0R&#10;Uka1pUI9gE9naUxwWgoWnCHM2cO+khadSJiX+MWqwPMYZvVRsQjWcsLWN9sTIa82XC5VwINSgM7N&#10;ug7Ej6f0ab1YL/JRPpmvR3la16OPmyofzTfZh1k9rauqzn4GalletIIxrgK7YTiz/O/Evz2T61jd&#10;x/PehuQteuwXkB3+kXTUMsh3HYS9ZpedHTSGeYzBt7cTBv5xD/bjC1/9AgAA//8DAFBLAwQUAAYA&#10;CAAAACEAjh9urt0AAAANAQAADwAAAGRycy9kb3ducmV2LnhtbEyPwU7DMBBE70j8g7VI3FonqK7a&#10;EKdCSEFcOFAQZzc2SYS9jmw3Dnw9ywHBbXZ3NPumPizOstmEOHqUUK4LYAY7r0fsJby+tKsdsJgU&#10;amU9GgmfJsKhubyoVaV9xmczH1PPKARjpSQMKU0V57EbjFNx7SeDdHv3walEY+i5DipTuLP8pii2&#10;3KkR6cOgJnM/mO7jeHYSsExvNueU5/AlHkQp2sfiqZXy+mq5uwWWzJL+zPCDT+jQENPJn1FHZiWs&#10;NltBVhKi3JAiy363pzan3xVvav6/RfMNAAD//wMAUEsBAi0AFAAGAAgAAAAhALaDOJL+AAAA4QEA&#10;ABMAAAAAAAAAAAAAAAAAAAAAAFtDb250ZW50X1R5cGVzXS54bWxQSwECLQAUAAYACAAAACEAOP0h&#10;/9YAAACUAQAACwAAAAAAAAAAAAAAAAAvAQAAX3JlbHMvLnJlbHNQSwECLQAUAAYACAAAACEAoBKP&#10;MBICAAApBAAADgAAAAAAAAAAAAAAAAAuAgAAZHJzL2Uyb0RvYy54bWxQSwECLQAUAAYACAAAACEA&#10;jh9urt0AAAANAQAADwAAAAAAAAAAAAAAAABsBAAAZHJzL2Rvd25yZXYueG1sUEsFBgAAAAAEAAQA&#10;8wAAAHYFAAAAAA==&#10;" o:allowincell="f" strokeweight=".5pt"/>
        </w:pict>
      </w:r>
      <w:r>
        <w:rPr>
          <w:noProof/>
        </w:rPr>
        <w:pict>
          <v:shape id="Arc 12" o:spid="_x0000_s1027" style="position:absolute;margin-left:495pt;margin-top:-257.3pt;width:18pt;height:18pt;z-index:25166028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2EfwMAAB0JAAAOAAAAZHJzL2Uyb0RvYy54bWzUVtuO2jAQfa/Uf7DyWInNhRAuWrbawlJV&#10;6k0q/QDjOCTaxE5tQ9it+u+dsRMIbLeqqr6Uh2Azh+M5c/Hk+vWhKsmeK11IMffCq8AjXDCZFmI7&#10;976uV4OJR7ShIqWlFHzuPXDtvb55+eK6qWc8krksU64IkAg9a+q5lxtTz3xfs5xXVF/JmgswZlJV&#10;1MBWbf1U0QbYq9KPgiDxG6nSWknGtYZfl87o3Vj+LOPMfMoyzQ0p5x74ZuxT2ecGn/7NNZ1tFa3z&#10;grVu0L/woqKFgEOPVEtqKNmp4glVVTAltczMFZOVL7OsYNxqADVhcKHmS05rbrVAcHR9DJP+d7Ts&#10;4/6zIkU694YeEbSCFN0qRsIII9PUegaAL/Vnhdp0/V6yew0G/8yCGw0Ysmk+yBQY6M5IG41Dpir8&#10;J+gkBxv0h2PQ+cEQBj9G0SQJIDUMTO0aT6Cz7s9sp81bLi0R3b/XxuUshZWNeNr6vQaSrCohfa98&#10;EpCGRCESt+gOFJ6B8l+Doh7I+fQcHUTteGaLfIYz7iGf9W7UA/2eLukhAwJCA3iORsPkUvD4T4HQ&#10;qUcpTxghH9su4jTvksAOos0CrAjFnl8nNvO11JhxzAnkdR2iV8ABMMzZCT0+Q0PcET18Dj05Q0NE&#10;ET3qo90ZrVMK2v+y8ZVHoPE3Lko1NagFXcIlaaAEbdGQ/LjKihLuDgG3F1xtB6N2eNV9usc6xv9V&#10;cs/X0jIYVDyAAgOvbN2BMycz220K9oY/9sFhOI2mJzx4YTlaH4BmmozbCr60HIsbFfeoYYtSfitJ&#10;GyXvoU8hOf+BIjorRT9orqT6+jt79+1idZGJzshKqbmrRheoNmK2DmwwT9eNkCvIvr1BSoHVkQxH&#10;Lu1alkWKRgy0VtvNolRkT3HK2E9bk2cwJXcitWQ5p+lduza0KN0aDi9te0BS2qrES9KOke/TYHo3&#10;uZvEgzhK7gZxsFwObleLeJCswvFoOVwuFsvwB1ZkGM/yIk25QO+6kRbGfzYy2uHqhtFxqJ2pOBO7&#10;sp+nYv1zN2zvg5bu28W6mxtu0Gxk+gAzREk3o+GdAha5VI8eaWA+zz39bUcVNGH5TsAAnIZxDJVg&#10;7CYejSPYqL5l07dQwYBq7hkPbilcLox7CdjVqtjmcFJou1nIW5hdWYEzxg4551W7gRlsFbTvCzjk&#10;+3uLOr3V3PwEAAD//wMAUEsDBBQABgAIAAAAIQCIy0K74wAAAA4BAAAPAAAAZHJzL2Rvd25yZXYu&#10;eG1sTI/NTsMwEITvSLyDtUjcWrtRCWmIUxWkInHrDxy4ufGSBOx1ZLtt4OlxT3Dc2dHMN9VytIad&#10;0IfekYTZVABDapzuqZXwul9PCmAhKtLKOEIJ3xhgWV9fVarU7kxbPO1iy1IIhVJJ6GIcSs5D06FV&#10;YeoGpPT7cN6qmE7fcu3VOYVbwzMhcm5VT6mhUwM+ddh87Y5Wwr54eXu0Y79630Qdnv36c2OyHylv&#10;b8bVA7CIY/wzwwU/oUOdmA7uSDowI2GxEGlLlDC5m81zYBeLyPKkHZI2vy9y4HXF/8+ofwEAAP//&#10;AwBQSwECLQAUAAYACAAAACEAtoM4kv4AAADhAQAAEwAAAAAAAAAAAAAAAAAAAAAAW0NvbnRlbnRf&#10;VHlwZXNdLnhtbFBLAQItABQABgAIAAAAIQA4/SH/1gAAAJQBAAALAAAAAAAAAAAAAAAAAC8BAABf&#10;cmVscy8ucmVsc1BLAQItABQABgAIAAAAIQDmpp2EfwMAAB0JAAAOAAAAAAAAAAAAAAAAAC4CAABk&#10;cnMvZTJvRG9jLnhtbFBLAQItABQABgAIAAAAIQCIy0K74wAAAA4BAAAPAAAAAAAAAAAAAAAAANkF&#10;AABkcnMvZG93bnJldi54bWxQSwUGAAAAAAQABADzAAAA6QYAAAAA&#10;" o:allowincell="f" adj="0,,0" path="m-1,nfc11929,,21600,9670,21600,21600em-1,nsc11929,,21600,9670,21600,21600l,21600,-1,xe" filled="f" strokeweight=".5pt">
            <v:stroke joinstyle="round"/>
            <v:formulas/>
            <v:path arrowok="t" o:extrusionok="f" o:connecttype="custom" o:connectlocs="0,0;2419350,2419350;0,2419350" o:connectangles="0,0,0"/>
          </v:shape>
        </w:pict>
      </w:r>
      <w:r w:rsidR="00041077" w:rsidRPr="009E197E">
        <w:t>Where the numerator and denominator of this ratio are defined as follows:</w:t>
      </w:r>
    </w:p>
    <w:p w:rsidR="00041077" w:rsidRPr="007823D2" w:rsidRDefault="00041077" w:rsidP="00764461">
      <w:pPr>
        <w:pStyle w:val="ListBullet2"/>
      </w:pPr>
      <w:r w:rsidRPr="009E197E">
        <w:rPr>
          <w:i/>
        </w:rPr>
        <w:t xml:space="preserve">Net </w:t>
      </w:r>
      <w:r w:rsidR="0006532D" w:rsidRPr="007823D2">
        <w:rPr>
          <w:i/>
        </w:rPr>
        <w:t>financial</w:t>
      </w:r>
      <w:r w:rsidR="0006532D" w:rsidRPr="009E197E">
        <w:t xml:space="preserve"> </w:t>
      </w:r>
      <w:r w:rsidRPr="009E197E">
        <w:rPr>
          <w:i/>
        </w:rPr>
        <w:t>returns from improvement actions.</w:t>
      </w:r>
      <w:r w:rsidR="00381E52">
        <w:t xml:space="preserve"> </w:t>
      </w:r>
      <w:r w:rsidRPr="009E197E">
        <w:t>The financial gains from the implementation of the improvement actions, wh</w:t>
      </w:r>
      <w:r w:rsidRPr="00E92320">
        <w:t>ich are generated by net changes in quality, efficiency</w:t>
      </w:r>
      <w:r w:rsidR="00990B9D" w:rsidRPr="007823D2">
        <w:t>,</w:t>
      </w:r>
      <w:r w:rsidRPr="007823D2">
        <w:t xml:space="preserve"> and utilization of services, or in payments for those services.</w:t>
      </w:r>
      <w:r w:rsidR="00381E52">
        <w:t xml:space="preserve"> </w:t>
      </w:r>
    </w:p>
    <w:p w:rsidR="006B35D4" w:rsidRDefault="0006532D" w:rsidP="009E197E">
      <w:pPr>
        <w:pStyle w:val="ListBullet2"/>
      </w:pPr>
      <w:r w:rsidRPr="007823D2">
        <w:rPr>
          <w:i/>
        </w:rPr>
        <w:t>Financial</w:t>
      </w:r>
      <w:r w:rsidRPr="009E197E">
        <w:t xml:space="preserve"> </w:t>
      </w:r>
      <w:r w:rsidR="000047AB" w:rsidRPr="009E197E">
        <w:rPr>
          <w:i/>
        </w:rPr>
        <w:t>i</w:t>
      </w:r>
      <w:r w:rsidR="00041077" w:rsidRPr="009E197E">
        <w:rPr>
          <w:i/>
        </w:rPr>
        <w:t xml:space="preserve">nvestment in </w:t>
      </w:r>
      <w:r w:rsidR="00990B9D" w:rsidRPr="009E197E">
        <w:rPr>
          <w:i/>
        </w:rPr>
        <w:t>improvement actions</w:t>
      </w:r>
      <w:r w:rsidR="00041077" w:rsidRPr="009E197E">
        <w:rPr>
          <w:i/>
        </w:rPr>
        <w:t>.</w:t>
      </w:r>
      <w:r w:rsidR="00381E52">
        <w:t xml:space="preserve"> </w:t>
      </w:r>
      <w:r w:rsidR="00041077" w:rsidRPr="009E197E">
        <w:t>The costs of developing and operating the improvement actions.</w:t>
      </w:r>
      <w:r w:rsidR="00381E52">
        <w:t xml:space="preserve"> </w:t>
      </w:r>
    </w:p>
    <w:p w:rsidR="006B35D4" w:rsidRPr="00FC7501" w:rsidRDefault="006B35D4" w:rsidP="006B35D4">
      <w:r w:rsidRPr="007823D2">
        <w:rPr>
          <w:b/>
        </w:rPr>
        <w:t>How does ROI differ from cost-effectiveness analysis (CEA)?</w:t>
      </w:r>
      <w:r w:rsidR="00381E52">
        <w:t xml:space="preserve"> </w:t>
      </w:r>
      <w:r w:rsidRPr="00FC7501">
        <w:t>CEA and ROI share some common features, but they differ in the effects that are addressed.</w:t>
      </w:r>
      <w:r w:rsidR="00381E52">
        <w:t xml:space="preserve"> </w:t>
      </w:r>
      <w:r w:rsidRPr="00FC7501">
        <w:t>Both ROI and CEA are expressed as ratios, and they use the same</w:t>
      </w:r>
      <w:r>
        <w:t xml:space="preserve"> </w:t>
      </w:r>
      <w:r w:rsidRPr="00AA4416">
        <w:t>dollar</w:t>
      </w:r>
      <w:r>
        <w:t xml:space="preserve"> </w:t>
      </w:r>
      <w:r w:rsidRPr="00FC7501">
        <w:t>amounts for improvement investment costs.</w:t>
      </w:r>
      <w:r w:rsidR="00381E52">
        <w:t xml:space="preserve"> </w:t>
      </w:r>
      <w:r w:rsidRPr="00FC7501">
        <w:t xml:space="preserve">ROI shows how much financial gain a </w:t>
      </w:r>
      <w:r w:rsidRPr="00AA4416">
        <w:t>hospital</w:t>
      </w:r>
      <w:r>
        <w:t xml:space="preserve"> or health system </w:t>
      </w:r>
      <w:r w:rsidRPr="00FC7501">
        <w:t xml:space="preserve">can obtain from each dollar it invests in </w:t>
      </w:r>
      <w:r>
        <w:t>a</w:t>
      </w:r>
      <w:r w:rsidRPr="00FC7501">
        <w:t xml:space="preserve"> quality improvement program, while the results of a CEA indicate the costs to a hospital for each unit of effectiveness it achieves through quality improvement actions, such as the costs for each adverse event avoided.</w:t>
      </w:r>
      <w:r w:rsidR="00381E52">
        <w:t xml:space="preserve"> </w:t>
      </w:r>
      <w:r w:rsidRPr="00FC7501">
        <w:t xml:space="preserve">These differences are reflected in the formulas used to calculate the ratios. </w:t>
      </w:r>
    </w:p>
    <w:p w:rsidR="006B35D4" w:rsidRPr="00FC7501" w:rsidRDefault="006B35D4" w:rsidP="006B35D4">
      <w:pPr>
        <w:ind w:left="720"/>
        <w:rPr>
          <w:rFonts w:ascii="Arial" w:hAnsi="Arial" w:cs="Arial"/>
          <w:sz w:val="20"/>
          <w:szCs w:val="20"/>
        </w:rPr>
      </w:pPr>
      <w:r w:rsidRPr="00FC7501">
        <w:rPr>
          <w:rFonts w:ascii="Arial" w:hAnsi="Arial" w:cs="Arial"/>
          <w:sz w:val="20"/>
          <w:szCs w:val="20"/>
        </w:rPr>
        <w:t>ROI = Financial gains</w:t>
      </w:r>
      <w:r>
        <w:rPr>
          <w:rFonts w:ascii="Arial" w:hAnsi="Arial" w:cs="Arial"/>
          <w:sz w:val="20"/>
          <w:szCs w:val="20"/>
        </w:rPr>
        <w:t xml:space="preserve"> </w:t>
      </w:r>
      <w:r w:rsidRPr="00FC7501">
        <w:rPr>
          <w:rFonts w:ascii="Arial" w:hAnsi="Arial" w:cs="Arial"/>
          <w:sz w:val="20"/>
          <w:szCs w:val="20"/>
        </w:rPr>
        <w:t>/</w:t>
      </w:r>
      <w:r>
        <w:rPr>
          <w:rFonts w:ascii="Arial" w:hAnsi="Arial" w:cs="Arial"/>
          <w:sz w:val="20"/>
          <w:szCs w:val="20"/>
        </w:rPr>
        <w:t xml:space="preserve"> </w:t>
      </w:r>
      <w:r w:rsidRPr="00FC7501">
        <w:rPr>
          <w:rFonts w:ascii="Arial" w:hAnsi="Arial" w:cs="Arial"/>
          <w:sz w:val="20"/>
          <w:szCs w:val="20"/>
        </w:rPr>
        <w:t>Improvement investment costs</w:t>
      </w:r>
    </w:p>
    <w:p w:rsidR="006B35D4" w:rsidRPr="00D2116F" w:rsidRDefault="006B35D4" w:rsidP="006B35D4">
      <w:pPr>
        <w:ind w:left="720"/>
        <w:rPr>
          <w:sz w:val="20"/>
        </w:rPr>
      </w:pPr>
      <w:r w:rsidRPr="00E81BDA">
        <w:rPr>
          <w:rFonts w:ascii="Arial" w:hAnsi="Arial"/>
          <w:sz w:val="20"/>
        </w:rPr>
        <w:t>CEA = Improvement investment costs / Effectiveness</w:t>
      </w:r>
    </w:p>
    <w:p w:rsidR="00C20E43" w:rsidRDefault="001B6712" w:rsidP="00132D77">
      <w:r>
        <w:t>The</w:t>
      </w:r>
      <w:r w:rsidR="00A92806" w:rsidRPr="00FC7501">
        <w:t xml:space="preserve"> step-by-step procedure </w:t>
      </w:r>
      <w:r>
        <w:t>described here</w:t>
      </w:r>
      <w:r w:rsidRPr="00FC7501">
        <w:t xml:space="preserve"> </w:t>
      </w:r>
      <w:r>
        <w:t>can be used</w:t>
      </w:r>
      <w:r w:rsidR="00A92806" w:rsidRPr="00FC7501">
        <w:t xml:space="preserve"> to perform ROI calculations to assess your financial return on improvement actions </w:t>
      </w:r>
      <w:r w:rsidR="0067756C" w:rsidRPr="00FC7501">
        <w:t xml:space="preserve">that </w:t>
      </w:r>
      <w:r w:rsidR="00A92806" w:rsidRPr="00FC7501">
        <w:t>you either are planning or have implemented.</w:t>
      </w:r>
      <w:r w:rsidR="00381E52">
        <w:t xml:space="preserve"> </w:t>
      </w:r>
      <w:r w:rsidR="00C20E43">
        <w:t>Additional information that may be useful to consider is provided in the section titled “</w:t>
      </w:r>
      <w:r w:rsidR="00C20E43" w:rsidRPr="00C20E43">
        <w:t>Additional Guidance for Effective ROI Calculation</w:t>
      </w:r>
      <w:r w:rsidR="00C20E43">
        <w:t>.”</w:t>
      </w:r>
      <w:r w:rsidR="00381E52">
        <w:t xml:space="preserve"> </w:t>
      </w:r>
    </w:p>
    <w:p w:rsidR="005824D9" w:rsidRPr="00FC7501" w:rsidRDefault="00C20E43" w:rsidP="00132D77">
      <w:r>
        <w:t>Throughout this document, t</w:t>
      </w:r>
      <w:r w:rsidR="001B6712">
        <w:t>he</w:t>
      </w:r>
      <w:r w:rsidR="005824D9" w:rsidRPr="00FC7501">
        <w:t xml:space="preserve"> term “improvement actions” refers to any hospital program or initiative that aims to improve the quality or safety of hospital inpatient care, which may </w:t>
      </w:r>
      <w:r w:rsidR="00A97B5A" w:rsidRPr="00FC7501">
        <w:t>include a</w:t>
      </w:r>
      <w:r w:rsidR="005824D9" w:rsidRPr="00FC7501">
        <w:t xml:space="preserve"> focus on improving performance on the AHRQ </w:t>
      </w:r>
      <w:r w:rsidR="00990B9D">
        <w:t>QIs</w:t>
      </w:r>
      <w:r w:rsidR="00A92806" w:rsidRPr="00FC7501">
        <w:t>.</w:t>
      </w:r>
      <w:r w:rsidR="00381E52">
        <w:t xml:space="preserve"> </w:t>
      </w:r>
    </w:p>
    <w:p w:rsidR="00A92806" w:rsidRPr="00FC7501" w:rsidRDefault="00A92806" w:rsidP="00CC3DE2">
      <w:pPr>
        <w:pStyle w:val="Heading3"/>
      </w:pPr>
      <w:proofErr w:type="gramStart"/>
      <w:r w:rsidRPr="00FC7501">
        <w:t>Step 1.</w:t>
      </w:r>
      <w:proofErr w:type="gramEnd"/>
      <w:r w:rsidRPr="00FC7501">
        <w:t xml:space="preserve"> Determine the Basic ROI Design</w:t>
      </w:r>
    </w:p>
    <w:p w:rsidR="00286454" w:rsidRPr="00FC7501" w:rsidRDefault="00E27B97" w:rsidP="00132D77">
      <w:r w:rsidRPr="00FC7501">
        <w:t>B</w:t>
      </w:r>
      <w:r w:rsidR="00443B27" w:rsidRPr="00FC7501">
        <w:t xml:space="preserve">efore you start </w:t>
      </w:r>
      <w:r w:rsidR="00990B9D">
        <w:t xml:space="preserve">to </w:t>
      </w:r>
      <w:r w:rsidR="00286454" w:rsidRPr="00FC7501">
        <w:t>calculat</w:t>
      </w:r>
      <w:r w:rsidR="00990B9D">
        <w:t>e</w:t>
      </w:r>
      <w:r w:rsidR="00286454" w:rsidRPr="00FC7501">
        <w:t xml:space="preserve"> ROI for any given improvement actions</w:t>
      </w:r>
      <w:r w:rsidRPr="00FC7501">
        <w:t xml:space="preserve">, </w:t>
      </w:r>
      <w:r w:rsidR="00A97B5A" w:rsidRPr="00FC7501">
        <w:t>you need</w:t>
      </w:r>
      <w:r w:rsidRPr="00FC7501">
        <w:t xml:space="preserve"> to make </w:t>
      </w:r>
      <w:r w:rsidR="00A97B5A" w:rsidRPr="00FC7501">
        <w:t>four</w:t>
      </w:r>
      <w:r w:rsidRPr="00FC7501">
        <w:t xml:space="preserve"> design decisions that will structure you</w:t>
      </w:r>
      <w:r w:rsidR="00C22A96" w:rsidRPr="00FC7501">
        <w:t>r approach to the</w:t>
      </w:r>
      <w:r w:rsidRPr="00FC7501">
        <w:t xml:space="preserve"> analysis:</w:t>
      </w:r>
    </w:p>
    <w:p w:rsidR="00443B27" w:rsidRPr="00FC7501" w:rsidRDefault="00443B27" w:rsidP="00764461">
      <w:pPr>
        <w:pStyle w:val="ListNumber2"/>
      </w:pPr>
      <w:r w:rsidRPr="00FC7501">
        <w:rPr>
          <w:b/>
        </w:rPr>
        <w:t>Defin</w:t>
      </w:r>
      <w:r w:rsidR="00F9132B" w:rsidRPr="00FC7501">
        <w:rPr>
          <w:b/>
        </w:rPr>
        <w:t>e</w:t>
      </w:r>
      <w:r w:rsidRPr="00FC7501">
        <w:rPr>
          <w:b/>
        </w:rPr>
        <w:t xml:space="preserve"> the scope of services affected by the improvement actions.</w:t>
      </w:r>
      <w:r w:rsidR="00381E52">
        <w:t xml:space="preserve"> </w:t>
      </w:r>
      <w:r w:rsidRPr="00FC7501">
        <w:t>Some actions will be limited to making improvements in one hospital unit (e.g., the emergency department), and others will have a broader scope (e.g., across all nursing units).</w:t>
      </w:r>
      <w:r w:rsidR="00381E52">
        <w:t xml:space="preserve"> </w:t>
      </w:r>
      <w:r w:rsidR="001B6712">
        <w:t>Carefully</w:t>
      </w:r>
      <w:r w:rsidR="0069340A" w:rsidRPr="00FC7501">
        <w:t xml:space="preserve"> </w:t>
      </w:r>
      <w:r w:rsidRPr="00FC7501">
        <w:t xml:space="preserve">define the scope of services to be included in the ROI calculation, and </w:t>
      </w:r>
      <w:r w:rsidR="00990B9D">
        <w:t>en</w:t>
      </w:r>
      <w:r w:rsidR="007615A5" w:rsidRPr="00FC7501">
        <w:t>sure that</w:t>
      </w:r>
      <w:r w:rsidRPr="00FC7501">
        <w:t xml:space="preserve"> financial estimates </w:t>
      </w:r>
      <w:r w:rsidR="007615A5" w:rsidRPr="00FC7501">
        <w:t xml:space="preserve">are </w:t>
      </w:r>
      <w:r w:rsidRPr="00FC7501">
        <w:t xml:space="preserve">specifically related to that scope of services. </w:t>
      </w:r>
    </w:p>
    <w:p w:rsidR="00E27B97" w:rsidRPr="00FC7501" w:rsidRDefault="00CC0D67" w:rsidP="00764461">
      <w:pPr>
        <w:pStyle w:val="ListNumber2"/>
      </w:pPr>
      <w:r w:rsidRPr="00FC7501">
        <w:rPr>
          <w:b/>
        </w:rPr>
        <w:t>Defin</w:t>
      </w:r>
      <w:r w:rsidR="00F9132B" w:rsidRPr="00FC7501">
        <w:rPr>
          <w:b/>
        </w:rPr>
        <w:t>e</w:t>
      </w:r>
      <w:r w:rsidRPr="00FC7501">
        <w:rPr>
          <w:b/>
        </w:rPr>
        <w:t xml:space="preserve"> the </w:t>
      </w:r>
      <w:r w:rsidR="00E27B97" w:rsidRPr="00FC7501">
        <w:rPr>
          <w:b/>
        </w:rPr>
        <w:t>timeline</w:t>
      </w:r>
      <w:r w:rsidRPr="00FC7501">
        <w:rPr>
          <w:b/>
        </w:rPr>
        <w:t xml:space="preserve"> for implementation of improvement actions.</w:t>
      </w:r>
      <w:r w:rsidR="00381E52">
        <w:t xml:space="preserve"> </w:t>
      </w:r>
      <w:r w:rsidRPr="00FC7501">
        <w:t xml:space="preserve">When </w:t>
      </w:r>
      <w:r w:rsidR="0069340A" w:rsidRPr="00FC7501">
        <w:t>implement</w:t>
      </w:r>
      <w:r w:rsidR="001B6712">
        <w:t>ing</w:t>
      </w:r>
      <w:r w:rsidRPr="00FC7501">
        <w:t xml:space="preserve"> improvement actions in your hospital, </w:t>
      </w:r>
      <w:r w:rsidR="001B6712">
        <w:t>those actions will occur</w:t>
      </w:r>
      <w:r w:rsidR="00E27B97" w:rsidRPr="00FC7501">
        <w:t xml:space="preserve"> over a period</w:t>
      </w:r>
      <w:r w:rsidR="001B6712">
        <w:t xml:space="preserve"> that</w:t>
      </w:r>
      <w:r w:rsidR="00E27B97" w:rsidRPr="00FC7501">
        <w:t xml:space="preserve"> could be </w:t>
      </w:r>
      <w:r w:rsidR="00E27B97" w:rsidRPr="00FC7501">
        <w:lastRenderedPageBreak/>
        <w:t>as short as a few months or as long as years.</w:t>
      </w:r>
      <w:r w:rsidR="00381E52">
        <w:t xml:space="preserve"> </w:t>
      </w:r>
      <w:r w:rsidR="001B6712" w:rsidRPr="00FC7501">
        <w:t xml:space="preserve">The ROI analysis needs to capture </w:t>
      </w:r>
      <w:r w:rsidR="001B6712">
        <w:t>when t</w:t>
      </w:r>
      <w:r w:rsidR="001B6712" w:rsidRPr="00FC7501">
        <w:t xml:space="preserve">hose </w:t>
      </w:r>
      <w:r w:rsidR="00E27B97" w:rsidRPr="00FC7501">
        <w:t>actions</w:t>
      </w:r>
      <w:r w:rsidRPr="00FC7501">
        <w:t xml:space="preserve"> chang</w:t>
      </w:r>
      <w:r w:rsidR="00E27B97" w:rsidRPr="00FC7501">
        <w:t>e</w:t>
      </w:r>
      <w:r w:rsidRPr="00FC7501">
        <w:t xml:space="preserve"> </w:t>
      </w:r>
      <w:r w:rsidR="00843691" w:rsidRPr="00FC7501">
        <w:t xml:space="preserve">the hospital’s </w:t>
      </w:r>
      <w:r w:rsidRPr="00FC7501">
        <w:t xml:space="preserve">operating </w:t>
      </w:r>
      <w:r w:rsidR="005B0D56" w:rsidRPr="00FC7501">
        <w:t>procedures</w:t>
      </w:r>
      <w:r w:rsidRPr="00FC7501">
        <w:t xml:space="preserve"> </w:t>
      </w:r>
      <w:r w:rsidR="001B6712">
        <w:t xml:space="preserve">over time, to estimate </w:t>
      </w:r>
      <w:r w:rsidR="00E33915" w:rsidRPr="00FC7501">
        <w:t xml:space="preserve">both </w:t>
      </w:r>
      <w:r w:rsidR="00843691" w:rsidRPr="00FC7501">
        <w:t xml:space="preserve">the </w:t>
      </w:r>
      <w:r w:rsidR="00E33915" w:rsidRPr="00FC7501">
        <w:t xml:space="preserve">implementation costs and </w:t>
      </w:r>
      <w:r w:rsidR="00843691" w:rsidRPr="00FC7501">
        <w:t xml:space="preserve">the </w:t>
      </w:r>
      <w:r w:rsidR="00E27B97" w:rsidRPr="00FC7501">
        <w:t xml:space="preserve">financial effects </w:t>
      </w:r>
      <w:r w:rsidR="001B6712">
        <w:t>of</w:t>
      </w:r>
      <w:r w:rsidR="00E33915" w:rsidRPr="00FC7501">
        <w:t xml:space="preserve"> </w:t>
      </w:r>
      <w:r w:rsidR="00843691" w:rsidRPr="00FC7501">
        <w:t>improvement actions</w:t>
      </w:r>
      <w:r w:rsidR="007B6163" w:rsidRPr="00FC7501">
        <w:t>.</w:t>
      </w:r>
      <w:r w:rsidR="00381E52">
        <w:t xml:space="preserve"> </w:t>
      </w:r>
      <w:r w:rsidR="007B6163" w:rsidRPr="00FC7501">
        <w:t xml:space="preserve">If </w:t>
      </w:r>
      <w:r w:rsidR="00843691" w:rsidRPr="00FC7501">
        <w:t>changes</w:t>
      </w:r>
      <w:r w:rsidR="00E27B97" w:rsidRPr="00FC7501">
        <w:t xml:space="preserve"> occur over years, you will need to adjust the estimates for inflation</w:t>
      </w:r>
      <w:r w:rsidR="003A5E93" w:rsidRPr="00FC7501">
        <w:t xml:space="preserve"> and discount future costs</w:t>
      </w:r>
      <w:r w:rsidR="0095050A" w:rsidRPr="00FC7501">
        <w:t xml:space="preserve"> and </w:t>
      </w:r>
      <w:r w:rsidR="003A5E93" w:rsidRPr="00FC7501">
        <w:t>revenues</w:t>
      </w:r>
      <w:r w:rsidRPr="00FC7501">
        <w:t>.</w:t>
      </w:r>
      <w:r w:rsidR="00381E52">
        <w:t xml:space="preserve"> </w:t>
      </w:r>
    </w:p>
    <w:p w:rsidR="00CC0D67" w:rsidRPr="00FC7501" w:rsidRDefault="00E27B97" w:rsidP="00764461">
      <w:pPr>
        <w:pStyle w:val="ListNumber2"/>
      </w:pPr>
      <w:r w:rsidRPr="00FC7501">
        <w:rPr>
          <w:b/>
        </w:rPr>
        <w:t>Defin</w:t>
      </w:r>
      <w:r w:rsidR="00F9132B" w:rsidRPr="00FC7501">
        <w:rPr>
          <w:b/>
        </w:rPr>
        <w:t>e</w:t>
      </w:r>
      <w:r w:rsidRPr="00FC7501">
        <w:rPr>
          <w:b/>
        </w:rPr>
        <w:t xml:space="preserve"> the comparison group.</w:t>
      </w:r>
      <w:r w:rsidR="00381E52">
        <w:t xml:space="preserve"> </w:t>
      </w:r>
      <w:r w:rsidR="000F2133" w:rsidRPr="00FC7501">
        <w:t xml:space="preserve">To estimate the </w:t>
      </w:r>
      <w:r w:rsidR="00262792">
        <w:t>numerator (</w:t>
      </w:r>
      <w:r w:rsidR="000F2133" w:rsidRPr="00FC7501">
        <w:t>net return portion</w:t>
      </w:r>
      <w:r w:rsidR="00262792">
        <w:t>)</w:t>
      </w:r>
      <w:r w:rsidR="000F2133" w:rsidRPr="00FC7501">
        <w:t xml:space="preserve"> </w:t>
      </w:r>
      <w:r w:rsidR="00262792">
        <w:t>for</w:t>
      </w:r>
      <w:r w:rsidR="00262792" w:rsidRPr="00FC7501">
        <w:t xml:space="preserve"> </w:t>
      </w:r>
      <w:r w:rsidR="000F2133" w:rsidRPr="00FC7501">
        <w:t>the ROI ratio, you need to compar</w:t>
      </w:r>
      <w:r w:rsidR="00D85E4C" w:rsidRPr="00FC7501">
        <w:t>e</w:t>
      </w:r>
      <w:r w:rsidR="000F2133" w:rsidRPr="00FC7501">
        <w:t xml:space="preserve"> </w:t>
      </w:r>
      <w:r w:rsidR="00D85E4C" w:rsidRPr="00FC7501">
        <w:t>the hospital’s</w:t>
      </w:r>
      <w:r w:rsidR="000F2133" w:rsidRPr="00FC7501">
        <w:t xml:space="preserve"> finances under two conditions—with the improvement actions implemented and without them.</w:t>
      </w:r>
      <w:r w:rsidR="00381E52">
        <w:t xml:space="preserve"> </w:t>
      </w:r>
      <w:r w:rsidR="000F2133" w:rsidRPr="00FC7501">
        <w:t>Typicall</w:t>
      </w:r>
      <w:r w:rsidR="003D78C6" w:rsidRPr="00FC7501">
        <w:t xml:space="preserve">y, </w:t>
      </w:r>
      <w:r w:rsidR="00C626D6">
        <w:t>this will be</w:t>
      </w:r>
      <w:r w:rsidR="000F2133" w:rsidRPr="00FC7501">
        <w:t xml:space="preserve"> a comparison over time, </w:t>
      </w:r>
      <w:r w:rsidR="00C626D6">
        <w:t>with</w:t>
      </w:r>
      <w:r w:rsidR="000F2133" w:rsidRPr="00FC7501">
        <w:t xml:space="preserve"> the “before” condition </w:t>
      </w:r>
      <w:r w:rsidR="00C626D6">
        <w:t>being</w:t>
      </w:r>
      <w:r w:rsidR="00C626D6" w:rsidRPr="00FC7501">
        <w:t xml:space="preserve"> </w:t>
      </w:r>
      <w:r w:rsidR="000F2133" w:rsidRPr="00FC7501">
        <w:t xml:space="preserve">the </w:t>
      </w:r>
      <w:r w:rsidR="0095050A" w:rsidRPr="00FC7501">
        <w:t>service</w:t>
      </w:r>
      <w:r w:rsidR="000F2133" w:rsidRPr="00FC7501">
        <w:t xml:space="preserve"> </w:t>
      </w:r>
      <w:r w:rsidR="0095050A" w:rsidRPr="00FC7501">
        <w:t>processes</w:t>
      </w:r>
      <w:r w:rsidR="000F2133" w:rsidRPr="00FC7501">
        <w:t xml:space="preserve"> before improvement</w:t>
      </w:r>
      <w:r w:rsidR="000E3985" w:rsidRPr="00FC7501">
        <w:t xml:space="preserve"> action</w:t>
      </w:r>
      <w:r w:rsidR="000F2133" w:rsidRPr="00FC7501">
        <w:t xml:space="preserve">s, and the “after” condition the service </w:t>
      </w:r>
      <w:r w:rsidR="0095050A" w:rsidRPr="00FC7501">
        <w:t>processes</w:t>
      </w:r>
      <w:r w:rsidR="000F2133" w:rsidRPr="00FC7501">
        <w:t xml:space="preserve"> after implementation.</w:t>
      </w:r>
      <w:r w:rsidR="00381E52">
        <w:t xml:space="preserve"> </w:t>
      </w:r>
      <w:r w:rsidR="000F2133" w:rsidRPr="00FC7501">
        <w:t xml:space="preserve">Other </w:t>
      </w:r>
      <w:r w:rsidR="00C626D6">
        <w:t xml:space="preserve">possible </w:t>
      </w:r>
      <w:r w:rsidR="000F2133" w:rsidRPr="00FC7501">
        <w:t xml:space="preserve">comparisons </w:t>
      </w:r>
      <w:r w:rsidR="00087A72" w:rsidRPr="00FC7501">
        <w:t xml:space="preserve">are comparisons </w:t>
      </w:r>
      <w:r w:rsidR="000F2133" w:rsidRPr="00FC7501">
        <w:t>across units within the same hospital, or across hospitals.</w:t>
      </w:r>
      <w:r w:rsidR="00381E52">
        <w:t xml:space="preserve"> </w:t>
      </w:r>
      <w:r w:rsidR="000F2133" w:rsidRPr="00FC7501">
        <w:t xml:space="preserve">If you use </w:t>
      </w:r>
      <w:r w:rsidR="005D5480" w:rsidRPr="00FC7501">
        <w:t xml:space="preserve">other units or hospitals as </w:t>
      </w:r>
      <w:r w:rsidR="000F2133" w:rsidRPr="00FC7501">
        <w:t xml:space="preserve">comparisons, be sure </w:t>
      </w:r>
      <w:r w:rsidR="0069340A" w:rsidRPr="00FC7501">
        <w:t>to</w:t>
      </w:r>
      <w:r w:rsidR="000F2133" w:rsidRPr="00FC7501">
        <w:t xml:space="preserve"> choose comparison groups that </w:t>
      </w:r>
      <w:r w:rsidR="00C626D6">
        <w:t>have</w:t>
      </w:r>
      <w:r w:rsidR="00C626D6" w:rsidRPr="00FC7501">
        <w:t xml:space="preserve"> </w:t>
      </w:r>
      <w:r w:rsidR="000F2133" w:rsidRPr="00FC7501">
        <w:t xml:space="preserve">similar characteristics to your </w:t>
      </w:r>
      <w:r w:rsidR="0069340A" w:rsidRPr="00FC7501">
        <w:t xml:space="preserve">service </w:t>
      </w:r>
      <w:r w:rsidR="000F2133" w:rsidRPr="00FC7501">
        <w:t>entity except that they did not implement the improvement actions.</w:t>
      </w:r>
      <w:r w:rsidR="00381E52">
        <w:t xml:space="preserve"> </w:t>
      </w:r>
    </w:p>
    <w:p w:rsidR="00277B48" w:rsidRPr="00FC7501" w:rsidRDefault="00286454" w:rsidP="00764461">
      <w:pPr>
        <w:pStyle w:val="ListNumber2"/>
      </w:pPr>
      <w:r w:rsidRPr="00FC7501">
        <w:rPr>
          <w:b/>
        </w:rPr>
        <w:t>Captur</w:t>
      </w:r>
      <w:r w:rsidR="00F9132B" w:rsidRPr="00FC7501">
        <w:rPr>
          <w:b/>
        </w:rPr>
        <w:t>e</w:t>
      </w:r>
      <w:r w:rsidRPr="00FC7501">
        <w:rPr>
          <w:b/>
        </w:rPr>
        <w:t xml:space="preserve"> complete information on financial contributors.</w:t>
      </w:r>
      <w:r w:rsidR="00381E52">
        <w:t xml:space="preserve"> </w:t>
      </w:r>
      <w:r w:rsidR="00277B48" w:rsidRPr="00FC7501">
        <w:t xml:space="preserve">To obtain the most accurate ROI estimate, you </w:t>
      </w:r>
      <w:r w:rsidRPr="00FC7501">
        <w:t xml:space="preserve">will </w:t>
      </w:r>
      <w:r w:rsidR="00277B48" w:rsidRPr="00FC7501">
        <w:t xml:space="preserve">need to identify and quantify </w:t>
      </w:r>
      <w:r w:rsidR="00717399" w:rsidRPr="00FC7501">
        <w:t>as many of</w:t>
      </w:r>
      <w:r w:rsidR="00277B48" w:rsidRPr="00FC7501">
        <w:t xml:space="preserve"> the financial contributors</w:t>
      </w:r>
      <w:r w:rsidR="00717399" w:rsidRPr="00FC7501">
        <w:t xml:space="preserve"> as possible</w:t>
      </w:r>
      <w:r w:rsidR="00277B48" w:rsidRPr="00FC7501">
        <w:t xml:space="preserve"> </w:t>
      </w:r>
      <w:r w:rsidR="00C626D6">
        <w:t>for</w:t>
      </w:r>
      <w:r w:rsidR="00C626D6" w:rsidRPr="00FC7501">
        <w:t xml:space="preserve"> </w:t>
      </w:r>
      <w:r w:rsidR="00277B48" w:rsidRPr="00FC7501">
        <w:t>both the numerator and denominator of the ROI formula.</w:t>
      </w:r>
      <w:r w:rsidR="00381E52">
        <w:t xml:space="preserve"> </w:t>
      </w:r>
      <w:r w:rsidR="00C626D6">
        <w:t>For</w:t>
      </w:r>
      <w:r w:rsidR="00277B48" w:rsidRPr="00FC7501">
        <w:t xml:space="preserve"> </w:t>
      </w:r>
      <w:r w:rsidR="00C626D6">
        <w:t>a</w:t>
      </w:r>
      <w:r w:rsidR="00C626D6" w:rsidRPr="00FC7501">
        <w:t xml:space="preserve"> </w:t>
      </w:r>
      <w:r w:rsidR="00277B48" w:rsidRPr="00FC7501">
        <w:t>planning phase</w:t>
      </w:r>
      <w:r w:rsidR="00C626D6">
        <w:t xml:space="preserve"> ROI</w:t>
      </w:r>
      <w:r w:rsidR="00277B48" w:rsidRPr="00FC7501">
        <w:t xml:space="preserve">, you will </w:t>
      </w:r>
      <w:r w:rsidR="00975A46">
        <w:t>work</w:t>
      </w:r>
      <w:r w:rsidR="00277B48" w:rsidRPr="00FC7501">
        <w:t xml:space="preserve"> with your best estimates of improvement action costs and of the components of net returns.</w:t>
      </w:r>
      <w:r w:rsidR="00381E52">
        <w:t xml:space="preserve"> </w:t>
      </w:r>
      <w:r w:rsidR="00C626D6">
        <w:t xml:space="preserve">For a </w:t>
      </w:r>
      <w:proofErr w:type="spellStart"/>
      <w:r w:rsidR="00646CDF">
        <w:t>postimplementation</w:t>
      </w:r>
      <w:proofErr w:type="spellEnd"/>
      <w:r w:rsidR="00277B48" w:rsidRPr="00FC7501">
        <w:t xml:space="preserve"> ROI, you will have actual data from your financial system on those contributors.</w:t>
      </w:r>
      <w:r w:rsidR="00381E52">
        <w:t xml:space="preserve"> </w:t>
      </w:r>
    </w:p>
    <w:p w:rsidR="00F9132B" w:rsidRPr="00FC7501" w:rsidRDefault="00F9132B" w:rsidP="00CC3DE2">
      <w:pPr>
        <w:pStyle w:val="Heading3"/>
      </w:pPr>
      <w:proofErr w:type="gramStart"/>
      <w:r w:rsidRPr="00FC7501">
        <w:t>Step 2.</w:t>
      </w:r>
      <w:proofErr w:type="gramEnd"/>
      <w:r w:rsidR="00381E52">
        <w:t xml:space="preserve"> </w:t>
      </w:r>
      <w:r w:rsidRPr="00FC7501">
        <w:t>Calculate the Return on Investment</w:t>
      </w:r>
    </w:p>
    <w:p w:rsidR="007615A5" w:rsidRPr="00FC7501" w:rsidRDefault="007615A5" w:rsidP="00764461">
      <w:r w:rsidRPr="00FC7501">
        <w:t xml:space="preserve">To calculate the ROI for </w:t>
      </w:r>
      <w:r w:rsidR="00F458B7" w:rsidRPr="00FC7501">
        <w:t xml:space="preserve">the </w:t>
      </w:r>
      <w:r w:rsidR="00F9132B" w:rsidRPr="00FC7501">
        <w:t>improvement actions</w:t>
      </w:r>
      <w:r w:rsidRPr="00FC7501">
        <w:t>, you will develop estimates for both the</w:t>
      </w:r>
      <w:r w:rsidR="00E27B97" w:rsidRPr="00FC7501">
        <w:t xml:space="preserve"> numerator and denominator of the ROI ratio</w:t>
      </w:r>
      <w:r w:rsidRPr="00FC7501">
        <w:t xml:space="preserve">: </w:t>
      </w:r>
    </w:p>
    <w:p w:rsidR="007615A5" w:rsidRPr="00FC7501" w:rsidRDefault="007615A5" w:rsidP="009344A4">
      <w:pPr>
        <w:tabs>
          <w:tab w:val="left" w:pos="4860"/>
        </w:tabs>
        <w:spacing w:after="0"/>
        <w:ind w:left="360"/>
        <w:rPr>
          <w:rFonts w:ascii="Arial" w:hAnsi="Arial" w:cs="Arial"/>
          <w:sz w:val="20"/>
          <w:szCs w:val="20"/>
        </w:rPr>
      </w:pPr>
      <w:r w:rsidRPr="00FC7501">
        <w:rPr>
          <w:rFonts w:ascii="Arial" w:hAnsi="Arial" w:cs="Arial"/>
          <w:i/>
          <w:sz w:val="20"/>
          <w:szCs w:val="20"/>
        </w:rPr>
        <w:t xml:space="preserve">Net returns from the </w:t>
      </w:r>
      <w:r w:rsidR="003D6680" w:rsidRPr="00FC7501">
        <w:rPr>
          <w:rFonts w:ascii="Arial" w:hAnsi="Arial" w:cs="Arial"/>
          <w:i/>
          <w:sz w:val="20"/>
          <w:szCs w:val="20"/>
        </w:rPr>
        <w:t>improvement actions</w:t>
      </w:r>
      <w:r w:rsidRPr="00FC7501">
        <w:rPr>
          <w:rFonts w:ascii="Arial" w:hAnsi="Arial" w:cs="Arial"/>
          <w:sz w:val="20"/>
          <w:szCs w:val="20"/>
        </w:rPr>
        <w:t xml:space="preserve"> (the ROI ratio</w:t>
      </w:r>
      <w:r w:rsidR="009344A4" w:rsidRPr="00FC7501">
        <w:rPr>
          <w:rFonts w:ascii="Arial" w:hAnsi="Arial" w:cs="Arial"/>
          <w:sz w:val="20"/>
          <w:szCs w:val="20"/>
        </w:rPr>
        <w:t xml:space="preserve"> numerator</w:t>
      </w:r>
      <w:r w:rsidRPr="00FC7501">
        <w:rPr>
          <w:rFonts w:ascii="Arial" w:hAnsi="Arial" w:cs="Arial"/>
          <w:sz w:val="20"/>
          <w:szCs w:val="20"/>
        </w:rPr>
        <w:t xml:space="preserve">) </w:t>
      </w:r>
    </w:p>
    <w:p w:rsidR="007615A5" w:rsidRPr="00FC7501" w:rsidRDefault="00AF58A0" w:rsidP="009344A4">
      <w:pPr>
        <w:tabs>
          <w:tab w:val="left" w:pos="4860"/>
        </w:tabs>
        <w:ind w:left="360"/>
        <w:rPr>
          <w:rFonts w:ascii="Arial" w:hAnsi="Arial" w:cs="Arial"/>
          <w:sz w:val="20"/>
          <w:szCs w:val="20"/>
        </w:rPr>
      </w:pPr>
      <w:r>
        <w:rPr>
          <w:rFonts w:ascii="Arial" w:hAnsi="Arial" w:cs="Arial"/>
          <w:i/>
          <w:sz w:val="20"/>
          <w:szCs w:val="20"/>
        </w:rPr>
        <w:t>Implementation costs</w:t>
      </w:r>
      <w:r w:rsidR="007615A5" w:rsidRPr="00FC7501">
        <w:rPr>
          <w:rFonts w:ascii="Arial" w:hAnsi="Arial" w:cs="Arial"/>
          <w:sz w:val="20"/>
          <w:szCs w:val="20"/>
        </w:rPr>
        <w:t xml:space="preserve"> (the ROI ratio</w:t>
      </w:r>
      <w:r w:rsidR="009344A4" w:rsidRPr="00FC7501">
        <w:rPr>
          <w:rFonts w:ascii="Arial" w:hAnsi="Arial" w:cs="Arial"/>
          <w:sz w:val="20"/>
          <w:szCs w:val="20"/>
        </w:rPr>
        <w:t xml:space="preserve"> denominator</w:t>
      </w:r>
      <w:r w:rsidR="007615A5" w:rsidRPr="00FC7501">
        <w:rPr>
          <w:rFonts w:ascii="Arial" w:hAnsi="Arial" w:cs="Arial"/>
          <w:sz w:val="20"/>
          <w:szCs w:val="20"/>
        </w:rPr>
        <w:t>)</w:t>
      </w:r>
    </w:p>
    <w:p w:rsidR="00AD0396" w:rsidRPr="00FC7501" w:rsidRDefault="003D6680" w:rsidP="00132D77">
      <w:r w:rsidRPr="00FC7501">
        <w:t xml:space="preserve">Worksheets are provided </w:t>
      </w:r>
      <w:r w:rsidR="008507BB" w:rsidRPr="00FC7501">
        <w:t>here</w:t>
      </w:r>
      <w:r w:rsidRPr="00FC7501">
        <w:t xml:space="preserve"> </w:t>
      </w:r>
      <w:r w:rsidR="006B1E0C" w:rsidRPr="00FC7501">
        <w:t>for your use in developing</w:t>
      </w:r>
      <w:r w:rsidRPr="00FC7501">
        <w:t xml:space="preserve"> these estimates.</w:t>
      </w:r>
      <w:r w:rsidR="00381E52">
        <w:t xml:space="preserve"> </w:t>
      </w:r>
      <w:r w:rsidRPr="00FC7501">
        <w:t xml:space="preserve">Worksheet 1 can be used to estimate the costs for </w:t>
      </w:r>
      <w:r w:rsidR="00761F72" w:rsidRPr="00FC7501">
        <w:t>your</w:t>
      </w:r>
      <w:r w:rsidRPr="00FC7501">
        <w:t xml:space="preserve"> investment in the improvement actions, and Worksheet 2 can </w:t>
      </w:r>
      <w:r w:rsidR="00D23089">
        <w:t>be</w:t>
      </w:r>
      <w:r w:rsidRPr="00FC7501">
        <w:t xml:space="preserve"> used to estimate the net returns from those actions.</w:t>
      </w:r>
      <w:r w:rsidR="00381E52">
        <w:t xml:space="preserve"> </w:t>
      </w:r>
    </w:p>
    <w:p w:rsidR="0018447B" w:rsidRPr="00FC7501" w:rsidRDefault="003D6680" w:rsidP="00132D77">
      <w:r w:rsidRPr="00FC7501">
        <w:rPr>
          <w:b/>
        </w:rPr>
        <w:t xml:space="preserve">Considerations </w:t>
      </w:r>
      <w:r w:rsidR="00761F72" w:rsidRPr="00FC7501">
        <w:rPr>
          <w:b/>
        </w:rPr>
        <w:t>When</w:t>
      </w:r>
      <w:r w:rsidRPr="00FC7501">
        <w:rPr>
          <w:b/>
        </w:rPr>
        <w:t xml:space="preserve"> Calculating </w:t>
      </w:r>
      <w:r w:rsidR="00AF58A0">
        <w:rPr>
          <w:b/>
        </w:rPr>
        <w:t>Implementation</w:t>
      </w:r>
      <w:r w:rsidR="00AF58A0" w:rsidRPr="00FC7501">
        <w:rPr>
          <w:b/>
        </w:rPr>
        <w:t xml:space="preserve"> </w:t>
      </w:r>
      <w:r w:rsidRPr="00FC7501">
        <w:rPr>
          <w:b/>
        </w:rPr>
        <w:t>Costs.</w:t>
      </w:r>
      <w:r w:rsidR="00381E52">
        <w:t xml:space="preserve"> </w:t>
      </w:r>
      <w:r w:rsidR="0018447B" w:rsidRPr="00FC7501">
        <w:t xml:space="preserve">Instructions for completing Worksheet 1 are provided at the top of the </w:t>
      </w:r>
      <w:r w:rsidR="00D23089">
        <w:t>w</w:t>
      </w:r>
      <w:r w:rsidR="0018447B" w:rsidRPr="00FC7501">
        <w:t>orksheet.</w:t>
      </w:r>
      <w:r w:rsidR="00381E52">
        <w:t xml:space="preserve"> </w:t>
      </w:r>
      <w:r w:rsidR="0095050A" w:rsidRPr="00FC7501">
        <w:t>Y</w:t>
      </w:r>
      <w:r w:rsidR="0018447B" w:rsidRPr="00FC7501">
        <w:t xml:space="preserve">ou will use the same methods to </w:t>
      </w:r>
      <w:r w:rsidR="00352E35">
        <w:t>estimate</w:t>
      </w:r>
      <w:r w:rsidR="00352E35" w:rsidRPr="00FC7501">
        <w:t xml:space="preserve"> </w:t>
      </w:r>
      <w:r w:rsidR="0018447B" w:rsidRPr="00FC7501">
        <w:t xml:space="preserve">these costs that you </w:t>
      </w:r>
      <w:r w:rsidR="00352E35">
        <w:t xml:space="preserve">would </w:t>
      </w:r>
      <w:r w:rsidR="0018447B" w:rsidRPr="00FC7501">
        <w:t xml:space="preserve">use for program budgeting or financial accounting </w:t>
      </w:r>
      <w:r w:rsidR="00352E35">
        <w:t>of</w:t>
      </w:r>
      <w:r w:rsidR="0018447B" w:rsidRPr="00FC7501">
        <w:t xml:space="preserve"> actual costs.</w:t>
      </w:r>
      <w:r w:rsidR="00381E52">
        <w:t xml:space="preserve"> </w:t>
      </w:r>
      <w:r w:rsidR="0010058B" w:rsidRPr="00FC7501">
        <w:t xml:space="preserve">The grand total </w:t>
      </w:r>
      <w:r w:rsidR="00352E35">
        <w:t xml:space="preserve">of estimated </w:t>
      </w:r>
      <w:r w:rsidR="0010058B" w:rsidRPr="00FC7501">
        <w:t xml:space="preserve">implementation costs </w:t>
      </w:r>
      <w:r w:rsidR="002F66B5">
        <w:t>calculated</w:t>
      </w:r>
      <w:r w:rsidR="002F66B5" w:rsidRPr="00FC7501">
        <w:t xml:space="preserve"> </w:t>
      </w:r>
      <w:r w:rsidR="0010058B" w:rsidRPr="00FC7501">
        <w:t xml:space="preserve">in </w:t>
      </w:r>
      <w:r w:rsidR="00352E35">
        <w:t>W</w:t>
      </w:r>
      <w:r w:rsidR="0010058B" w:rsidRPr="00FC7501">
        <w:t xml:space="preserve">orksheet </w:t>
      </w:r>
      <w:r w:rsidR="00352E35">
        <w:t xml:space="preserve">1 </w:t>
      </w:r>
      <w:r w:rsidR="0010058B" w:rsidRPr="00FC7501">
        <w:t>is the ROI denominator.</w:t>
      </w:r>
      <w:r w:rsidR="00381E52">
        <w:t xml:space="preserve"> </w:t>
      </w:r>
    </w:p>
    <w:p w:rsidR="00975A46" w:rsidRDefault="002F66B5" w:rsidP="00132D77">
      <w:r>
        <w:t>The</w:t>
      </w:r>
      <w:r w:rsidR="0018447B" w:rsidRPr="00FC7501">
        <w:t xml:space="preserve"> costs involved in implementing improvement actions may be incurred at different stages of the implementation process.</w:t>
      </w:r>
      <w:r w:rsidR="00381E52">
        <w:t xml:space="preserve"> </w:t>
      </w:r>
      <w:r w:rsidR="0018447B" w:rsidRPr="00764461">
        <w:rPr>
          <w:rStyle w:val="Emphasis"/>
        </w:rPr>
        <w:t xml:space="preserve">Your hospital’s financial staff </w:t>
      </w:r>
      <w:r w:rsidR="005D5480" w:rsidRPr="00764461">
        <w:rPr>
          <w:rStyle w:val="Emphasis"/>
        </w:rPr>
        <w:t xml:space="preserve">will </w:t>
      </w:r>
      <w:r w:rsidR="0018447B" w:rsidRPr="00764461">
        <w:rPr>
          <w:rStyle w:val="Emphasis"/>
        </w:rPr>
        <w:t xml:space="preserve">need to </w:t>
      </w:r>
      <w:r w:rsidR="00352E35">
        <w:rPr>
          <w:rStyle w:val="Emphasis"/>
        </w:rPr>
        <w:t xml:space="preserve">estimate </w:t>
      </w:r>
      <w:r w:rsidR="0018447B" w:rsidRPr="00764461">
        <w:rPr>
          <w:rStyle w:val="Emphasis"/>
        </w:rPr>
        <w:t>these costs at all stages of the program from start to end</w:t>
      </w:r>
      <w:r w:rsidR="00352E35">
        <w:rPr>
          <w:rStyle w:val="Emphasis"/>
        </w:rPr>
        <w:t xml:space="preserve"> if using the ROI tool for planning.</w:t>
      </w:r>
      <w:r w:rsidR="00381E52">
        <w:rPr>
          <w:rStyle w:val="Emphasis"/>
        </w:rPr>
        <w:t xml:space="preserve"> </w:t>
      </w:r>
      <w:r w:rsidR="00352E35">
        <w:rPr>
          <w:rStyle w:val="Emphasis"/>
        </w:rPr>
        <w:t xml:space="preserve">If </w:t>
      </w:r>
      <w:r w:rsidR="00D661F6">
        <w:rPr>
          <w:rStyle w:val="Emphasis"/>
        </w:rPr>
        <w:t xml:space="preserve">you </w:t>
      </w:r>
      <w:r w:rsidR="00352E35">
        <w:rPr>
          <w:rStyle w:val="Emphasis"/>
        </w:rPr>
        <w:t>us</w:t>
      </w:r>
      <w:r w:rsidR="00D661F6">
        <w:rPr>
          <w:rStyle w:val="Emphasis"/>
        </w:rPr>
        <w:t>e</w:t>
      </w:r>
      <w:r w:rsidR="00352E35">
        <w:rPr>
          <w:rStyle w:val="Emphasis"/>
        </w:rPr>
        <w:t xml:space="preserve"> the ROI tool for evaluation purposes, </w:t>
      </w:r>
      <w:r w:rsidR="00975A46">
        <w:rPr>
          <w:rStyle w:val="Emphasis"/>
        </w:rPr>
        <w:t xml:space="preserve">you will need to track </w:t>
      </w:r>
      <w:r w:rsidR="00352E35">
        <w:rPr>
          <w:rStyle w:val="Emphasis"/>
        </w:rPr>
        <w:t xml:space="preserve">costs </w:t>
      </w:r>
      <w:r w:rsidR="007624AC">
        <w:rPr>
          <w:rStyle w:val="Emphasis"/>
        </w:rPr>
        <w:t>throughout implementation</w:t>
      </w:r>
      <w:r w:rsidR="0018447B" w:rsidRPr="00FC7501">
        <w:t>.</w:t>
      </w:r>
      <w:r w:rsidR="00381E52">
        <w:t xml:space="preserve"> </w:t>
      </w:r>
    </w:p>
    <w:p w:rsidR="003D6680" w:rsidRPr="00FC7501" w:rsidRDefault="0018447B" w:rsidP="00132D77">
      <w:r w:rsidRPr="00FC7501">
        <w:t xml:space="preserve">Table 1 shows </w:t>
      </w:r>
      <w:r w:rsidR="007624AC">
        <w:t xml:space="preserve">example </w:t>
      </w:r>
      <w:r w:rsidRPr="00FC7501">
        <w:t>categories of costs at each stage of program planning, implementation</w:t>
      </w:r>
      <w:r w:rsidR="00D23089">
        <w:t>,</w:t>
      </w:r>
      <w:r w:rsidRPr="00FC7501">
        <w:t xml:space="preserve"> and maintenance</w:t>
      </w:r>
      <w:r w:rsidR="002A5C6A" w:rsidRPr="00FC7501">
        <w:t xml:space="preserve"> (see descriptions of </w:t>
      </w:r>
      <w:r w:rsidR="0011424B" w:rsidRPr="00FC7501">
        <w:t xml:space="preserve">these </w:t>
      </w:r>
      <w:r w:rsidR="002A5C6A" w:rsidRPr="00FC7501">
        <w:t>components in Appendix I).</w:t>
      </w:r>
      <w:r w:rsidR="00381E52">
        <w:t xml:space="preserve"> </w:t>
      </w:r>
      <w:r w:rsidRPr="00FC7501">
        <w:t>These broad categories are meant as suggestions.</w:t>
      </w:r>
      <w:r w:rsidR="00381E52">
        <w:t xml:space="preserve"> </w:t>
      </w:r>
      <w:r w:rsidRPr="00FC7501">
        <w:t>Not all costs included will apply to all types of programs or quality improvement initiatives.</w:t>
      </w:r>
      <w:r w:rsidR="00381E52">
        <w:t xml:space="preserve"> </w:t>
      </w:r>
      <w:r w:rsidRPr="00FC7501">
        <w:t xml:space="preserve">In addition, you may identify other relevant costs that should be included but are not shown </w:t>
      </w:r>
      <w:r w:rsidR="002F66B5">
        <w:t>here</w:t>
      </w:r>
      <w:r w:rsidRPr="00FC7501">
        <w:t>.</w:t>
      </w:r>
      <w:r w:rsidR="00381E52">
        <w:t xml:space="preserve"> </w:t>
      </w:r>
    </w:p>
    <w:p w:rsidR="0018447B" w:rsidRPr="00FC7501" w:rsidRDefault="0018447B" w:rsidP="00764461">
      <w:pPr>
        <w:pStyle w:val="TableTitle"/>
      </w:pPr>
      <w:proofErr w:type="gramStart"/>
      <w:r w:rsidRPr="00FC7501">
        <w:lastRenderedPageBreak/>
        <w:t>Table 1.</w:t>
      </w:r>
      <w:proofErr w:type="gramEnd"/>
      <w:r w:rsidRPr="00FC7501">
        <w:t xml:space="preserve"> Categories of Costs Incurred at Different Stages of Implementing a Practice or Quality Improvement Program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tblPr>
      <w:tblGrid>
        <w:gridCol w:w="1807"/>
        <w:gridCol w:w="1633"/>
        <w:gridCol w:w="1295"/>
        <w:gridCol w:w="1295"/>
        <w:gridCol w:w="2070"/>
        <w:gridCol w:w="1260"/>
      </w:tblGrid>
      <w:tr w:rsidR="0018447B" w:rsidRPr="00FC7501" w:rsidTr="00764461">
        <w:trPr>
          <w:trHeight w:val="20"/>
          <w:jc w:val="center"/>
        </w:trPr>
        <w:tc>
          <w:tcPr>
            <w:tcW w:w="1807" w:type="dxa"/>
            <w:tcBorders>
              <w:bottom w:val="nil"/>
            </w:tcBorders>
            <w:vAlign w:val="bottom"/>
          </w:tcPr>
          <w:p w:rsidR="0018447B" w:rsidRPr="00FC7501" w:rsidRDefault="0018447B" w:rsidP="00461FE3">
            <w:pPr>
              <w:spacing w:before="20" w:after="20"/>
              <w:jc w:val="center"/>
              <w:rPr>
                <w:rFonts w:ascii="Arial" w:hAnsi="Arial" w:cs="Arial"/>
                <w:sz w:val="20"/>
                <w:szCs w:val="20"/>
              </w:rPr>
            </w:pPr>
          </w:p>
        </w:tc>
        <w:tc>
          <w:tcPr>
            <w:tcW w:w="7553" w:type="dxa"/>
            <w:gridSpan w:val="5"/>
            <w:vAlign w:val="bottom"/>
          </w:tcPr>
          <w:p w:rsidR="0018447B" w:rsidRPr="00FC7501" w:rsidRDefault="0018447B" w:rsidP="00764461">
            <w:pPr>
              <w:pStyle w:val="TableHead"/>
            </w:pPr>
            <w:r w:rsidRPr="00FC7501">
              <w:t>Stages of the Improvement Actions</w:t>
            </w:r>
          </w:p>
        </w:tc>
      </w:tr>
      <w:tr w:rsidR="0018447B" w:rsidRPr="00FC7501" w:rsidTr="00764461">
        <w:trPr>
          <w:trHeight w:val="20"/>
          <w:jc w:val="center"/>
        </w:trPr>
        <w:tc>
          <w:tcPr>
            <w:tcW w:w="1807" w:type="dxa"/>
            <w:tcBorders>
              <w:top w:val="nil"/>
              <w:bottom w:val="double" w:sz="4" w:space="0" w:color="auto"/>
            </w:tcBorders>
            <w:vAlign w:val="bottom"/>
          </w:tcPr>
          <w:p w:rsidR="0018447B" w:rsidRPr="00FC7501" w:rsidRDefault="0018447B" w:rsidP="00764461">
            <w:pPr>
              <w:pStyle w:val="TableHead"/>
            </w:pPr>
            <w:r w:rsidRPr="00FC7501">
              <w:t>Cost Category</w:t>
            </w:r>
          </w:p>
        </w:tc>
        <w:tc>
          <w:tcPr>
            <w:tcW w:w="1633" w:type="dxa"/>
            <w:tcBorders>
              <w:bottom w:val="double" w:sz="4" w:space="0" w:color="auto"/>
            </w:tcBorders>
            <w:vAlign w:val="bottom"/>
          </w:tcPr>
          <w:p w:rsidR="0018447B" w:rsidRPr="00FC7501" w:rsidRDefault="0018447B" w:rsidP="00764461">
            <w:pPr>
              <w:pStyle w:val="TableHead"/>
            </w:pPr>
            <w:r w:rsidRPr="00FC7501">
              <w:t>Planning and Development</w:t>
            </w:r>
          </w:p>
        </w:tc>
        <w:tc>
          <w:tcPr>
            <w:tcW w:w="1295" w:type="dxa"/>
            <w:tcBorders>
              <w:bottom w:val="double" w:sz="4" w:space="0" w:color="auto"/>
            </w:tcBorders>
            <w:vAlign w:val="bottom"/>
          </w:tcPr>
          <w:p w:rsidR="0018447B" w:rsidRPr="00FC7501" w:rsidRDefault="0018447B" w:rsidP="00764461">
            <w:pPr>
              <w:pStyle w:val="TableHead"/>
            </w:pPr>
            <w:r w:rsidRPr="00FC7501">
              <w:t>Training</w:t>
            </w:r>
          </w:p>
        </w:tc>
        <w:tc>
          <w:tcPr>
            <w:tcW w:w="1295" w:type="dxa"/>
            <w:tcBorders>
              <w:bottom w:val="double" w:sz="4" w:space="0" w:color="auto"/>
            </w:tcBorders>
            <w:vAlign w:val="bottom"/>
          </w:tcPr>
          <w:p w:rsidR="0018447B" w:rsidRPr="00FC7501" w:rsidRDefault="0018447B" w:rsidP="00764461">
            <w:pPr>
              <w:pStyle w:val="TableHead"/>
            </w:pPr>
            <w:r w:rsidRPr="00FC7501">
              <w:t>Startup</w:t>
            </w:r>
          </w:p>
        </w:tc>
        <w:tc>
          <w:tcPr>
            <w:tcW w:w="2070" w:type="dxa"/>
            <w:tcBorders>
              <w:bottom w:val="double" w:sz="4" w:space="0" w:color="auto"/>
            </w:tcBorders>
            <w:vAlign w:val="bottom"/>
          </w:tcPr>
          <w:p w:rsidR="0018447B" w:rsidRPr="00FC7501" w:rsidRDefault="0018447B" w:rsidP="00764461">
            <w:pPr>
              <w:pStyle w:val="TableHead"/>
            </w:pPr>
            <w:r w:rsidRPr="00FC7501">
              <w:t>Ongoing Operation, Monitoring</w:t>
            </w:r>
            <w:r w:rsidR="00461FE3">
              <w:t>,</w:t>
            </w:r>
            <w:r w:rsidRPr="00FC7501">
              <w:t xml:space="preserve"> and Maintenance</w:t>
            </w:r>
          </w:p>
        </w:tc>
        <w:tc>
          <w:tcPr>
            <w:tcW w:w="1260" w:type="dxa"/>
            <w:tcBorders>
              <w:bottom w:val="double" w:sz="4" w:space="0" w:color="auto"/>
            </w:tcBorders>
            <w:vAlign w:val="bottom"/>
          </w:tcPr>
          <w:p w:rsidR="0018447B" w:rsidRPr="00FC7501" w:rsidRDefault="0018447B" w:rsidP="00764461">
            <w:pPr>
              <w:pStyle w:val="TableHead"/>
            </w:pPr>
            <w:r w:rsidRPr="00FC7501">
              <w:t>Shutdown</w:t>
            </w:r>
          </w:p>
        </w:tc>
      </w:tr>
      <w:tr w:rsidR="0018447B" w:rsidRPr="00FC7501" w:rsidTr="00764461">
        <w:trPr>
          <w:trHeight w:val="20"/>
          <w:jc w:val="center"/>
        </w:trPr>
        <w:tc>
          <w:tcPr>
            <w:tcW w:w="1807" w:type="dxa"/>
            <w:tcBorders>
              <w:top w:val="double" w:sz="4" w:space="0" w:color="auto"/>
            </w:tcBorders>
          </w:tcPr>
          <w:p w:rsidR="0018447B" w:rsidRPr="00FC7501" w:rsidRDefault="0018447B" w:rsidP="00764461">
            <w:pPr>
              <w:spacing w:after="0"/>
              <w:rPr>
                <w:rFonts w:ascii="Arial" w:hAnsi="Arial" w:cs="Arial"/>
                <w:sz w:val="20"/>
                <w:szCs w:val="20"/>
              </w:rPr>
            </w:pPr>
            <w:r w:rsidRPr="00FC7501">
              <w:rPr>
                <w:rFonts w:ascii="Arial" w:hAnsi="Arial" w:cs="Arial"/>
                <w:sz w:val="20"/>
                <w:szCs w:val="20"/>
              </w:rPr>
              <w:t>Personnel</w:t>
            </w:r>
          </w:p>
        </w:tc>
        <w:tc>
          <w:tcPr>
            <w:tcW w:w="1633" w:type="dxa"/>
            <w:tcBorders>
              <w:top w:val="double" w:sz="4" w:space="0" w:color="auto"/>
            </w:tcBorders>
          </w:tcPr>
          <w:p w:rsidR="0018447B" w:rsidRPr="00FC7501" w:rsidRDefault="0018447B" w:rsidP="00764461">
            <w:pPr>
              <w:spacing w:after="0"/>
              <w:jc w:val="center"/>
              <w:rPr>
                <w:rFonts w:ascii="Arial" w:hAnsi="Arial" w:cs="Arial"/>
                <w:sz w:val="20"/>
                <w:szCs w:val="20"/>
              </w:rPr>
            </w:pPr>
            <w:r w:rsidRPr="00FC7501">
              <w:rPr>
                <w:rFonts w:ascii="Arial" w:hAnsi="Arial" w:cs="Arial"/>
                <w:sz w:val="20"/>
                <w:szCs w:val="20"/>
              </w:rPr>
              <w:t>X</w:t>
            </w:r>
          </w:p>
        </w:tc>
        <w:tc>
          <w:tcPr>
            <w:tcW w:w="1295" w:type="dxa"/>
            <w:tcBorders>
              <w:top w:val="double" w:sz="4" w:space="0" w:color="auto"/>
            </w:tcBorders>
          </w:tcPr>
          <w:p w:rsidR="0018447B" w:rsidRPr="00FC7501" w:rsidRDefault="0018447B" w:rsidP="00764461">
            <w:pPr>
              <w:spacing w:after="0"/>
              <w:jc w:val="center"/>
              <w:rPr>
                <w:rFonts w:ascii="Arial" w:hAnsi="Arial" w:cs="Arial"/>
                <w:sz w:val="20"/>
                <w:szCs w:val="20"/>
              </w:rPr>
            </w:pPr>
            <w:r w:rsidRPr="00FC7501">
              <w:rPr>
                <w:rFonts w:ascii="Arial" w:hAnsi="Arial" w:cs="Arial"/>
                <w:sz w:val="20"/>
                <w:szCs w:val="20"/>
              </w:rPr>
              <w:t>X</w:t>
            </w:r>
          </w:p>
        </w:tc>
        <w:tc>
          <w:tcPr>
            <w:tcW w:w="1295" w:type="dxa"/>
            <w:tcBorders>
              <w:top w:val="double" w:sz="4" w:space="0" w:color="auto"/>
            </w:tcBorders>
          </w:tcPr>
          <w:p w:rsidR="0018447B" w:rsidRPr="00FC7501" w:rsidRDefault="0018447B" w:rsidP="00764461">
            <w:pPr>
              <w:spacing w:after="0"/>
              <w:jc w:val="center"/>
              <w:rPr>
                <w:rFonts w:ascii="Arial" w:hAnsi="Arial" w:cs="Arial"/>
                <w:sz w:val="20"/>
                <w:szCs w:val="20"/>
              </w:rPr>
            </w:pPr>
            <w:r w:rsidRPr="00FC7501">
              <w:rPr>
                <w:rFonts w:ascii="Arial" w:hAnsi="Arial" w:cs="Arial"/>
                <w:sz w:val="20"/>
                <w:szCs w:val="20"/>
              </w:rPr>
              <w:t>X</w:t>
            </w:r>
          </w:p>
        </w:tc>
        <w:tc>
          <w:tcPr>
            <w:tcW w:w="2070" w:type="dxa"/>
            <w:tcBorders>
              <w:top w:val="double" w:sz="4" w:space="0" w:color="auto"/>
            </w:tcBorders>
          </w:tcPr>
          <w:p w:rsidR="0018447B" w:rsidRPr="00FC7501" w:rsidRDefault="0018447B" w:rsidP="00764461">
            <w:pPr>
              <w:spacing w:after="0"/>
              <w:jc w:val="center"/>
              <w:rPr>
                <w:rFonts w:ascii="Arial" w:hAnsi="Arial" w:cs="Arial"/>
                <w:sz w:val="20"/>
                <w:szCs w:val="20"/>
              </w:rPr>
            </w:pPr>
            <w:r w:rsidRPr="00FC7501">
              <w:rPr>
                <w:rFonts w:ascii="Arial" w:hAnsi="Arial" w:cs="Arial"/>
                <w:sz w:val="20"/>
                <w:szCs w:val="20"/>
              </w:rPr>
              <w:t>X</w:t>
            </w:r>
          </w:p>
        </w:tc>
        <w:tc>
          <w:tcPr>
            <w:tcW w:w="1260" w:type="dxa"/>
            <w:tcBorders>
              <w:top w:val="double" w:sz="4" w:space="0" w:color="auto"/>
            </w:tcBorders>
          </w:tcPr>
          <w:p w:rsidR="0018447B" w:rsidRPr="00FC7501" w:rsidRDefault="0018447B" w:rsidP="00764461">
            <w:pPr>
              <w:spacing w:after="0"/>
              <w:jc w:val="center"/>
              <w:rPr>
                <w:rFonts w:ascii="Arial" w:hAnsi="Arial" w:cs="Arial"/>
                <w:sz w:val="20"/>
                <w:szCs w:val="20"/>
              </w:rPr>
            </w:pPr>
            <w:r w:rsidRPr="00FC7501">
              <w:rPr>
                <w:rFonts w:ascii="Arial" w:hAnsi="Arial" w:cs="Arial"/>
                <w:sz w:val="20"/>
                <w:szCs w:val="20"/>
              </w:rPr>
              <w:t>X</w:t>
            </w:r>
          </w:p>
        </w:tc>
      </w:tr>
      <w:tr w:rsidR="0018447B" w:rsidRPr="00FC7501" w:rsidTr="00764461">
        <w:trPr>
          <w:trHeight w:val="20"/>
          <w:jc w:val="center"/>
        </w:trPr>
        <w:tc>
          <w:tcPr>
            <w:tcW w:w="1807" w:type="dxa"/>
          </w:tcPr>
          <w:p w:rsidR="0018447B" w:rsidRPr="00FC7501" w:rsidRDefault="0018447B" w:rsidP="00D23089">
            <w:pPr>
              <w:spacing w:after="0"/>
              <w:rPr>
                <w:rFonts w:ascii="Arial" w:hAnsi="Arial" w:cs="Arial"/>
                <w:sz w:val="20"/>
                <w:szCs w:val="20"/>
              </w:rPr>
            </w:pPr>
            <w:r w:rsidRPr="00FC7501">
              <w:rPr>
                <w:rFonts w:ascii="Arial" w:hAnsi="Arial" w:cs="Arial"/>
                <w:sz w:val="20"/>
                <w:szCs w:val="20"/>
              </w:rPr>
              <w:t>Supplies</w:t>
            </w:r>
          </w:p>
        </w:tc>
        <w:tc>
          <w:tcPr>
            <w:tcW w:w="1633"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1295"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1295"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2070"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1260"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r>
      <w:tr w:rsidR="0018447B" w:rsidRPr="00FC7501" w:rsidTr="00764461">
        <w:trPr>
          <w:trHeight w:val="20"/>
          <w:jc w:val="center"/>
        </w:trPr>
        <w:tc>
          <w:tcPr>
            <w:tcW w:w="1807" w:type="dxa"/>
          </w:tcPr>
          <w:p w:rsidR="0018447B" w:rsidRPr="00FC7501" w:rsidRDefault="0018447B" w:rsidP="00D23089">
            <w:pPr>
              <w:spacing w:after="0"/>
              <w:rPr>
                <w:rFonts w:ascii="Arial" w:hAnsi="Arial" w:cs="Arial"/>
                <w:sz w:val="20"/>
                <w:szCs w:val="20"/>
              </w:rPr>
            </w:pPr>
            <w:r w:rsidRPr="00FC7501">
              <w:rPr>
                <w:rFonts w:ascii="Arial" w:hAnsi="Arial" w:cs="Arial"/>
                <w:sz w:val="20"/>
                <w:szCs w:val="20"/>
              </w:rPr>
              <w:t>Equipment</w:t>
            </w:r>
          </w:p>
        </w:tc>
        <w:tc>
          <w:tcPr>
            <w:tcW w:w="1633" w:type="dxa"/>
          </w:tcPr>
          <w:p w:rsidR="0018447B" w:rsidRPr="00FC7501" w:rsidRDefault="0018447B" w:rsidP="00D23089">
            <w:pPr>
              <w:spacing w:after="0"/>
              <w:jc w:val="center"/>
              <w:rPr>
                <w:rFonts w:ascii="Arial" w:hAnsi="Arial" w:cs="Arial"/>
                <w:sz w:val="20"/>
                <w:szCs w:val="20"/>
              </w:rPr>
            </w:pPr>
          </w:p>
        </w:tc>
        <w:tc>
          <w:tcPr>
            <w:tcW w:w="1295" w:type="dxa"/>
          </w:tcPr>
          <w:p w:rsidR="0018447B" w:rsidRPr="00FC7501" w:rsidRDefault="0018447B" w:rsidP="00D23089">
            <w:pPr>
              <w:spacing w:after="0"/>
              <w:jc w:val="center"/>
              <w:rPr>
                <w:rFonts w:ascii="Arial" w:hAnsi="Arial" w:cs="Arial"/>
                <w:sz w:val="20"/>
                <w:szCs w:val="20"/>
              </w:rPr>
            </w:pPr>
          </w:p>
        </w:tc>
        <w:tc>
          <w:tcPr>
            <w:tcW w:w="1295"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2070"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1260" w:type="dxa"/>
          </w:tcPr>
          <w:p w:rsidR="0018447B" w:rsidRPr="00FC7501" w:rsidRDefault="0018447B" w:rsidP="00D23089">
            <w:pPr>
              <w:spacing w:after="0"/>
              <w:jc w:val="center"/>
              <w:rPr>
                <w:rFonts w:ascii="Arial" w:hAnsi="Arial" w:cs="Arial"/>
                <w:sz w:val="20"/>
                <w:szCs w:val="20"/>
              </w:rPr>
            </w:pPr>
          </w:p>
        </w:tc>
      </w:tr>
      <w:tr w:rsidR="0018447B" w:rsidRPr="00FC7501" w:rsidTr="00764461">
        <w:trPr>
          <w:trHeight w:val="20"/>
          <w:jc w:val="center"/>
        </w:trPr>
        <w:tc>
          <w:tcPr>
            <w:tcW w:w="1807" w:type="dxa"/>
          </w:tcPr>
          <w:p w:rsidR="0018447B" w:rsidRPr="00FC7501" w:rsidRDefault="0018447B" w:rsidP="00D23089">
            <w:pPr>
              <w:spacing w:after="0"/>
              <w:rPr>
                <w:rFonts w:ascii="Arial" w:hAnsi="Arial" w:cs="Arial"/>
                <w:sz w:val="20"/>
                <w:szCs w:val="20"/>
              </w:rPr>
            </w:pPr>
            <w:r w:rsidRPr="00FC7501">
              <w:rPr>
                <w:rFonts w:ascii="Arial" w:hAnsi="Arial" w:cs="Arial"/>
                <w:sz w:val="20"/>
                <w:szCs w:val="20"/>
              </w:rPr>
              <w:t>Training</w:t>
            </w:r>
          </w:p>
        </w:tc>
        <w:tc>
          <w:tcPr>
            <w:tcW w:w="1633"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1295"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1295"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2070"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1260" w:type="dxa"/>
          </w:tcPr>
          <w:p w:rsidR="0018447B" w:rsidRPr="00FC7501" w:rsidRDefault="0018447B" w:rsidP="00D23089">
            <w:pPr>
              <w:spacing w:after="0"/>
              <w:jc w:val="center"/>
              <w:rPr>
                <w:rFonts w:ascii="Arial" w:hAnsi="Arial" w:cs="Arial"/>
                <w:sz w:val="20"/>
                <w:szCs w:val="20"/>
              </w:rPr>
            </w:pPr>
          </w:p>
        </w:tc>
      </w:tr>
      <w:tr w:rsidR="0018447B" w:rsidRPr="00FC7501" w:rsidTr="00764461">
        <w:trPr>
          <w:trHeight w:val="20"/>
          <w:jc w:val="center"/>
        </w:trPr>
        <w:tc>
          <w:tcPr>
            <w:tcW w:w="1807" w:type="dxa"/>
          </w:tcPr>
          <w:p w:rsidR="0018447B" w:rsidRPr="00FC7501" w:rsidRDefault="0018447B" w:rsidP="00D23089">
            <w:pPr>
              <w:spacing w:after="0"/>
              <w:rPr>
                <w:rFonts w:ascii="Arial" w:hAnsi="Arial" w:cs="Arial"/>
                <w:sz w:val="20"/>
                <w:szCs w:val="20"/>
              </w:rPr>
            </w:pPr>
            <w:r w:rsidRPr="00FC7501">
              <w:rPr>
                <w:rFonts w:ascii="Arial" w:hAnsi="Arial" w:cs="Arial"/>
                <w:sz w:val="20"/>
                <w:szCs w:val="20"/>
              </w:rPr>
              <w:t>Information systems</w:t>
            </w:r>
          </w:p>
        </w:tc>
        <w:tc>
          <w:tcPr>
            <w:tcW w:w="1633" w:type="dxa"/>
          </w:tcPr>
          <w:p w:rsidR="0018447B" w:rsidRPr="00FC7501" w:rsidRDefault="0018447B" w:rsidP="00D23089">
            <w:pPr>
              <w:spacing w:after="0"/>
              <w:jc w:val="center"/>
              <w:rPr>
                <w:rFonts w:ascii="Arial" w:hAnsi="Arial" w:cs="Arial"/>
                <w:sz w:val="20"/>
                <w:szCs w:val="20"/>
              </w:rPr>
            </w:pPr>
          </w:p>
        </w:tc>
        <w:tc>
          <w:tcPr>
            <w:tcW w:w="1295" w:type="dxa"/>
          </w:tcPr>
          <w:p w:rsidR="0018447B" w:rsidRPr="00FC7501" w:rsidRDefault="0018447B" w:rsidP="00D23089">
            <w:pPr>
              <w:spacing w:after="0"/>
              <w:jc w:val="center"/>
              <w:rPr>
                <w:rFonts w:ascii="Arial" w:hAnsi="Arial" w:cs="Arial"/>
                <w:sz w:val="20"/>
                <w:szCs w:val="20"/>
              </w:rPr>
            </w:pPr>
          </w:p>
        </w:tc>
        <w:tc>
          <w:tcPr>
            <w:tcW w:w="1295"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2070"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1260"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r>
      <w:tr w:rsidR="0018447B" w:rsidRPr="00FC7501" w:rsidTr="00764461">
        <w:trPr>
          <w:trHeight w:val="20"/>
          <w:jc w:val="center"/>
        </w:trPr>
        <w:tc>
          <w:tcPr>
            <w:tcW w:w="1807" w:type="dxa"/>
          </w:tcPr>
          <w:p w:rsidR="0018447B" w:rsidRPr="00FC7501" w:rsidRDefault="0018447B" w:rsidP="00D23089">
            <w:pPr>
              <w:spacing w:after="0"/>
              <w:rPr>
                <w:rFonts w:ascii="Arial" w:hAnsi="Arial" w:cs="Arial"/>
                <w:sz w:val="20"/>
                <w:szCs w:val="20"/>
              </w:rPr>
            </w:pPr>
            <w:r w:rsidRPr="00FC7501">
              <w:rPr>
                <w:rFonts w:ascii="Arial" w:hAnsi="Arial" w:cs="Arial"/>
                <w:sz w:val="20"/>
                <w:szCs w:val="20"/>
              </w:rPr>
              <w:t>Outreach and communication</w:t>
            </w:r>
          </w:p>
        </w:tc>
        <w:tc>
          <w:tcPr>
            <w:tcW w:w="1633" w:type="dxa"/>
          </w:tcPr>
          <w:p w:rsidR="0018447B" w:rsidRPr="00FC7501" w:rsidRDefault="0018447B" w:rsidP="00D23089">
            <w:pPr>
              <w:spacing w:after="0"/>
              <w:jc w:val="center"/>
              <w:rPr>
                <w:rFonts w:ascii="Arial" w:hAnsi="Arial" w:cs="Arial"/>
                <w:sz w:val="20"/>
                <w:szCs w:val="20"/>
              </w:rPr>
            </w:pPr>
          </w:p>
        </w:tc>
        <w:tc>
          <w:tcPr>
            <w:tcW w:w="1295" w:type="dxa"/>
          </w:tcPr>
          <w:p w:rsidR="0018447B" w:rsidRPr="00FC7501" w:rsidRDefault="0018447B" w:rsidP="00D23089">
            <w:pPr>
              <w:spacing w:after="0"/>
              <w:jc w:val="center"/>
              <w:rPr>
                <w:rFonts w:ascii="Arial" w:hAnsi="Arial" w:cs="Arial"/>
                <w:sz w:val="20"/>
                <w:szCs w:val="20"/>
              </w:rPr>
            </w:pPr>
          </w:p>
        </w:tc>
        <w:tc>
          <w:tcPr>
            <w:tcW w:w="1295"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2070"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c>
          <w:tcPr>
            <w:tcW w:w="1260" w:type="dxa"/>
          </w:tcPr>
          <w:p w:rsidR="0018447B" w:rsidRPr="00FC7501" w:rsidRDefault="0018447B" w:rsidP="00D23089">
            <w:pPr>
              <w:spacing w:after="0"/>
              <w:jc w:val="center"/>
              <w:rPr>
                <w:rFonts w:ascii="Arial" w:hAnsi="Arial" w:cs="Arial"/>
                <w:sz w:val="20"/>
                <w:szCs w:val="20"/>
              </w:rPr>
            </w:pPr>
            <w:r w:rsidRPr="00FC7501">
              <w:rPr>
                <w:rFonts w:ascii="Arial" w:hAnsi="Arial" w:cs="Arial"/>
                <w:sz w:val="20"/>
                <w:szCs w:val="20"/>
              </w:rPr>
              <w:t>X</w:t>
            </w:r>
          </w:p>
        </w:tc>
      </w:tr>
      <w:tr w:rsidR="0018447B" w:rsidRPr="00FC7501" w:rsidTr="00764461">
        <w:trPr>
          <w:trHeight w:val="20"/>
          <w:jc w:val="center"/>
        </w:trPr>
        <w:tc>
          <w:tcPr>
            <w:tcW w:w="1807" w:type="dxa"/>
          </w:tcPr>
          <w:p w:rsidR="0018447B" w:rsidRPr="00FC7501" w:rsidRDefault="0018447B" w:rsidP="00764461">
            <w:pPr>
              <w:spacing w:after="0"/>
              <w:rPr>
                <w:rFonts w:ascii="Arial" w:hAnsi="Arial" w:cs="Arial"/>
                <w:sz w:val="20"/>
                <w:szCs w:val="20"/>
              </w:rPr>
            </w:pPr>
            <w:r w:rsidRPr="00FC7501">
              <w:rPr>
                <w:rFonts w:ascii="Arial" w:hAnsi="Arial" w:cs="Arial"/>
                <w:sz w:val="20"/>
                <w:szCs w:val="20"/>
              </w:rPr>
              <w:t>External consultant costs</w:t>
            </w:r>
          </w:p>
        </w:tc>
        <w:tc>
          <w:tcPr>
            <w:tcW w:w="1633" w:type="dxa"/>
          </w:tcPr>
          <w:p w:rsidR="0018447B" w:rsidRPr="00FC7501" w:rsidRDefault="0018447B" w:rsidP="00764461">
            <w:pPr>
              <w:spacing w:after="0"/>
              <w:jc w:val="center"/>
              <w:rPr>
                <w:rFonts w:ascii="Arial" w:hAnsi="Arial" w:cs="Arial"/>
                <w:sz w:val="20"/>
                <w:szCs w:val="20"/>
              </w:rPr>
            </w:pPr>
          </w:p>
        </w:tc>
        <w:tc>
          <w:tcPr>
            <w:tcW w:w="1295" w:type="dxa"/>
          </w:tcPr>
          <w:p w:rsidR="0018447B" w:rsidRPr="00FC7501" w:rsidRDefault="0018447B" w:rsidP="00764461">
            <w:pPr>
              <w:spacing w:after="0"/>
              <w:jc w:val="center"/>
              <w:rPr>
                <w:rFonts w:ascii="Arial" w:hAnsi="Arial" w:cs="Arial"/>
                <w:sz w:val="20"/>
                <w:szCs w:val="20"/>
              </w:rPr>
            </w:pPr>
            <w:r w:rsidRPr="00FC7501">
              <w:rPr>
                <w:rFonts w:ascii="Arial" w:hAnsi="Arial" w:cs="Arial"/>
                <w:sz w:val="20"/>
                <w:szCs w:val="20"/>
              </w:rPr>
              <w:t>X</w:t>
            </w:r>
          </w:p>
        </w:tc>
        <w:tc>
          <w:tcPr>
            <w:tcW w:w="1295" w:type="dxa"/>
          </w:tcPr>
          <w:p w:rsidR="0018447B" w:rsidRPr="00FC7501" w:rsidRDefault="0018447B" w:rsidP="00764461">
            <w:pPr>
              <w:spacing w:after="0"/>
              <w:jc w:val="center"/>
              <w:rPr>
                <w:rFonts w:ascii="Arial" w:hAnsi="Arial" w:cs="Arial"/>
                <w:sz w:val="20"/>
                <w:szCs w:val="20"/>
              </w:rPr>
            </w:pPr>
            <w:r w:rsidRPr="00FC7501">
              <w:rPr>
                <w:rFonts w:ascii="Arial" w:hAnsi="Arial" w:cs="Arial"/>
                <w:sz w:val="20"/>
                <w:szCs w:val="20"/>
              </w:rPr>
              <w:t>X</w:t>
            </w:r>
          </w:p>
        </w:tc>
        <w:tc>
          <w:tcPr>
            <w:tcW w:w="2070" w:type="dxa"/>
          </w:tcPr>
          <w:p w:rsidR="0018447B" w:rsidRPr="00FC7501" w:rsidRDefault="0018447B" w:rsidP="00764461">
            <w:pPr>
              <w:spacing w:after="0"/>
              <w:jc w:val="center"/>
              <w:rPr>
                <w:rFonts w:ascii="Arial" w:hAnsi="Arial" w:cs="Arial"/>
                <w:sz w:val="20"/>
                <w:szCs w:val="20"/>
              </w:rPr>
            </w:pPr>
            <w:r w:rsidRPr="00FC7501">
              <w:rPr>
                <w:rFonts w:ascii="Arial" w:hAnsi="Arial" w:cs="Arial"/>
                <w:sz w:val="20"/>
                <w:szCs w:val="20"/>
              </w:rPr>
              <w:t>X</w:t>
            </w:r>
          </w:p>
        </w:tc>
        <w:tc>
          <w:tcPr>
            <w:tcW w:w="1260" w:type="dxa"/>
          </w:tcPr>
          <w:p w:rsidR="0018447B" w:rsidRPr="00FC7501" w:rsidRDefault="0018447B" w:rsidP="00764461">
            <w:pPr>
              <w:spacing w:after="0"/>
              <w:jc w:val="center"/>
              <w:rPr>
                <w:rFonts w:ascii="Arial" w:hAnsi="Arial" w:cs="Arial"/>
                <w:sz w:val="20"/>
                <w:szCs w:val="20"/>
              </w:rPr>
            </w:pPr>
          </w:p>
        </w:tc>
      </w:tr>
    </w:tbl>
    <w:p w:rsidR="007823D2" w:rsidRDefault="007823D2" w:rsidP="00132D77">
      <w:pPr>
        <w:rPr>
          <w:b/>
        </w:rPr>
      </w:pPr>
    </w:p>
    <w:p w:rsidR="00761F72" w:rsidRPr="00FC7501" w:rsidRDefault="0002182A" w:rsidP="00132D77">
      <w:proofErr w:type="gramStart"/>
      <w:r w:rsidRPr="00FC7501">
        <w:rPr>
          <w:b/>
        </w:rPr>
        <w:t>Considerations for Calculating Net Return.</w:t>
      </w:r>
      <w:proofErr w:type="gramEnd"/>
      <w:r w:rsidR="00381E52">
        <w:t xml:space="preserve"> </w:t>
      </w:r>
      <w:r w:rsidR="0018447B" w:rsidRPr="00FC7501">
        <w:t xml:space="preserve">Instructions for completing Worksheet 2 are provided at the top of the </w:t>
      </w:r>
      <w:r w:rsidR="00830331">
        <w:t>w</w:t>
      </w:r>
      <w:r w:rsidR="0018447B" w:rsidRPr="00FC7501">
        <w:t>orksheet.</w:t>
      </w:r>
      <w:r w:rsidR="00381E52">
        <w:t xml:space="preserve"> </w:t>
      </w:r>
      <w:r w:rsidR="00761F72" w:rsidRPr="00FC7501">
        <w:t xml:space="preserve">The grand total financial effect derived in the </w:t>
      </w:r>
      <w:r w:rsidR="00830331">
        <w:t>w</w:t>
      </w:r>
      <w:r w:rsidR="00761F72" w:rsidRPr="00FC7501">
        <w:t>orksheet is the estimate for the ROI numerator.</w:t>
      </w:r>
      <w:r w:rsidR="00381E52">
        <w:t xml:space="preserve"> </w:t>
      </w:r>
    </w:p>
    <w:p w:rsidR="000705DB" w:rsidRPr="00FC7501" w:rsidRDefault="00F6382F" w:rsidP="00132D77">
      <w:r w:rsidRPr="00FC7501">
        <w:t xml:space="preserve">The estimation of these </w:t>
      </w:r>
      <w:r w:rsidR="0014213D" w:rsidRPr="00FC7501">
        <w:t xml:space="preserve">financial effects </w:t>
      </w:r>
      <w:r w:rsidR="00EB30AF" w:rsidRPr="00FC7501">
        <w:t>is</w:t>
      </w:r>
      <w:r w:rsidR="0014213D" w:rsidRPr="00FC7501">
        <w:t xml:space="preserve"> more complex—and more subtle—</w:t>
      </w:r>
      <w:r w:rsidR="00EB30AF" w:rsidRPr="00FC7501">
        <w:t>than estimating</w:t>
      </w:r>
      <w:r w:rsidR="0014213D" w:rsidRPr="00FC7501">
        <w:t xml:space="preserve"> the implementation costs.</w:t>
      </w:r>
      <w:r w:rsidR="00381E52">
        <w:t xml:space="preserve"> </w:t>
      </w:r>
      <w:r w:rsidR="000705DB" w:rsidRPr="00FC7501">
        <w:t>Implementation of improvement actions may have many positive effects on patients’ outcomes and health status.</w:t>
      </w:r>
      <w:r w:rsidR="00381E52">
        <w:t xml:space="preserve"> </w:t>
      </w:r>
      <w:r w:rsidR="000705DB" w:rsidRPr="00FC7501">
        <w:t>For example, improvement actions might reduce hospital-associated infections, rates of pressure ulcers, or patient mortality.</w:t>
      </w:r>
      <w:r w:rsidR="00381E52">
        <w:t xml:space="preserve"> </w:t>
      </w:r>
      <w:r w:rsidR="000705DB" w:rsidRPr="00FC7501">
        <w:t xml:space="preserve">Although these effects do not have a direct monetary value, many of them may </w:t>
      </w:r>
      <w:r w:rsidR="00213179" w:rsidRPr="00FC7501">
        <w:t>affect</w:t>
      </w:r>
      <w:r w:rsidR="000705DB" w:rsidRPr="00FC7501">
        <w:t xml:space="preserve"> a hospital’s revenues and expenses, which </w:t>
      </w:r>
      <w:r w:rsidR="002F66B5">
        <w:t>should</w:t>
      </w:r>
      <w:r w:rsidR="002F66B5" w:rsidRPr="00FC7501">
        <w:t xml:space="preserve"> </w:t>
      </w:r>
      <w:r w:rsidR="000705DB" w:rsidRPr="00FC7501">
        <w:t>be estimated in a</w:t>
      </w:r>
      <w:r w:rsidR="00830331">
        <w:t>n</w:t>
      </w:r>
      <w:r w:rsidR="000705DB" w:rsidRPr="00FC7501">
        <w:t xml:space="preserve"> ROI analysis.</w:t>
      </w:r>
      <w:r w:rsidR="00381E52">
        <w:t xml:space="preserve"> </w:t>
      </w:r>
      <w:r w:rsidR="000705DB" w:rsidRPr="00FC7501">
        <w:t xml:space="preserve">For example, reduction in adverse events can lead to reduced length of stay, which </w:t>
      </w:r>
      <w:r w:rsidR="002F66B5">
        <w:t>may affect finances either positively or negatively</w:t>
      </w:r>
      <w:r w:rsidR="00D31475">
        <w:t>, depending on payment structures</w:t>
      </w:r>
      <w:r w:rsidR="000705DB" w:rsidRPr="00FC7501">
        <w:t xml:space="preserve">. </w:t>
      </w:r>
      <w:r w:rsidR="009E197E">
        <w:t xml:space="preserve">In addition, reduction </w:t>
      </w:r>
      <w:r w:rsidR="007823D2">
        <w:t xml:space="preserve">of </w:t>
      </w:r>
      <w:r w:rsidR="009E197E">
        <w:t xml:space="preserve">adverse events that would result in decreased payments due to programs </w:t>
      </w:r>
      <w:r w:rsidR="00D661F6">
        <w:t>such as</w:t>
      </w:r>
      <w:r w:rsidR="009E197E">
        <w:t xml:space="preserve"> the </w:t>
      </w:r>
      <w:r w:rsidR="009E197E" w:rsidRPr="009E197E">
        <w:t>Centers for Medicare &amp; Medicaid Services</w:t>
      </w:r>
      <w:r w:rsidR="009E197E">
        <w:t xml:space="preserve">’ Value-Based Purchasing or </w:t>
      </w:r>
      <w:r w:rsidR="009E197E" w:rsidRPr="009E197E">
        <w:t>Hospital-Acquired Condition Reduction Program</w:t>
      </w:r>
      <w:r w:rsidR="009E197E">
        <w:t xml:space="preserve"> would have an even more direct effect</w:t>
      </w:r>
      <w:r w:rsidR="007823D2">
        <w:t xml:space="preserve"> on revenues</w:t>
      </w:r>
      <w:r w:rsidR="009E197E">
        <w:t>.</w:t>
      </w:r>
    </w:p>
    <w:p w:rsidR="00975A46" w:rsidRDefault="002F66B5" w:rsidP="00132D77">
      <w:r>
        <w:t xml:space="preserve">You will need to capture </w:t>
      </w:r>
      <w:r w:rsidR="005E1BE2" w:rsidRPr="00FC7501">
        <w:t xml:space="preserve">two </w:t>
      </w:r>
      <w:r w:rsidR="00213179" w:rsidRPr="00FC7501">
        <w:t>types</w:t>
      </w:r>
      <w:r w:rsidR="005E1BE2" w:rsidRPr="00FC7501">
        <w:t xml:space="preserve"> of f</w:t>
      </w:r>
      <w:r w:rsidR="0014213D" w:rsidRPr="00FC7501">
        <w:t xml:space="preserve">inancial </w:t>
      </w:r>
      <w:r w:rsidR="008507BB" w:rsidRPr="00FC7501">
        <w:t>effects</w:t>
      </w:r>
      <w:r w:rsidR="00592F21">
        <w:t>:</w:t>
      </w:r>
      <w:r w:rsidR="0014213D" w:rsidRPr="00FC7501">
        <w:t xml:space="preserve"> change</w:t>
      </w:r>
      <w:r w:rsidR="005E1BE2" w:rsidRPr="00FC7501">
        <w:t>s</w:t>
      </w:r>
      <w:r w:rsidR="0014213D" w:rsidRPr="00FC7501">
        <w:t xml:space="preserve"> in the hospital’s revenues </w:t>
      </w:r>
      <w:r w:rsidR="008F2189" w:rsidRPr="00FC7501">
        <w:t>and</w:t>
      </w:r>
      <w:r w:rsidR="00592F21">
        <w:t xml:space="preserve"> changes</w:t>
      </w:r>
      <w:r w:rsidR="0014213D" w:rsidRPr="00FC7501">
        <w:t xml:space="preserve"> in its operating costs.</w:t>
      </w:r>
      <w:r w:rsidR="00381E52">
        <w:t xml:space="preserve"> </w:t>
      </w:r>
      <w:r w:rsidR="0014213D" w:rsidRPr="00FC7501">
        <w:t>For example, by reducing its infection rates, a hospital could eliminate the costs it had been incurring to provide the extra care required to treat infections</w:t>
      </w:r>
      <w:r w:rsidR="000459B7" w:rsidRPr="00FC7501">
        <w:t>.</w:t>
      </w:r>
      <w:r w:rsidR="00381E52">
        <w:t xml:space="preserve"> </w:t>
      </w:r>
      <w:r w:rsidR="000459B7" w:rsidRPr="00FC7501">
        <w:t>I</w:t>
      </w:r>
      <w:r w:rsidR="0014213D" w:rsidRPr="00FC7501">
        <w:t>t also could enhance or protect its revenues</w:t>
      </w:r>
      <w:r w:rsidR="001D05EC" w:rsidRPr="00FC7501">
        <w:t>,</w:t>
      </w:r>
      <w:r w:rsidR="0014213D" w:rsidRPr="00FC7501">
        <w:t xml:space="preserve"> if insurers offer</w:t>
      </w:r>
      <w:r w:rsidR="001D05EC" w:rsidRPr="00FC7501">
        <w:t>ed</w:t>
      </w:r>
      <w:r w:rsidR="0014213D" w:rsidRPr="00FC7501">
        <w:t xml:space="preserve"> incentives for infection control or impose</w:t>
      </w:r>
      <w:r w:rsidR="001D05EC" w:rsidRPr="00FC7501">
        <w:t>d</w:t>
      </w:r>
      <w:r w:rsidR="0014213D" w:rsidRPr="00FC7501">
        <w:t xml:space="preserve"> penalties for occurrences of infections.</w:t>
      </w:r>
      <w:r w:rsidR="00381E52">
        <w:t xml:space="preserve"> </w:t>
      </w:r>
    </w:p>
    <w:p w:rsidR="003D6680" w:rsidRPr="00FC7501" w:rsidRDefault="00D31475" w:rsidP="00132D77">
      <w:r>
        <w:t>W</w:t>
      </w:r>
      <w:r w:rsidRPr="00FC7501">
        <w:t>hen calculating the hospital’s net return for the ROI</w:t>
      </w:r>
      <w:r>
        <w:t>, it is necessary to take into account that the</w:t>
      </w:r>
      <w:r w:rsidRPr="00FC7501">
        <w:t xml:space="preserve"> </w:t>
      </w:r>
      <w:r w:rsidR="004D0829" w:rsidRPr="00FC7501">
        <w:t>effects on</w:t>
      </w:r>
      <w:r w:rsidR="000D7A87" w:rsidRPr="00FC7501">
        <w:t xml:space="preserve"> revenues and</w:t>
      </w:r>
      <w:r w:rsidR="004D0829" w:rsidRPr="00FC7501">
        <w:t xml:space="preserve"> effects on</w:t>
      </w:r>
      <w:r w:rsidR="000D7A87" w:rsidRPr="00FC7501">
        <w:t xml:space="preserve"> costs </w:t>
      </w:r>
      <w:r w:rsidR="0003421D" w:rsidRPr="00FC7501">
        <w:t xml:space="preserve">work in </w:t>
      </w:r>
      <w:r w:rsidR="00B56AA6" w:rsidRPr="00FC7501">
        <w:t>opposite directions</w:t>
      </w:r>
      <w:r w:rsidR="000D7A87" w:rsidRPr="00FC7501">
        <w:t>.</w:t>
      </w:r>
      <w:r w:rsidR="00381E52">
        <w:t xml:space="preserve"> </w:t>
      </w:r>
      <w:r w:rsidR="0026015D" w:rsidRPr="00FC7501">
        <w:t>From the hospital</w:t>
      </w:r>
      <w:r w:rsidR="005E146B" w:rsidRPr="00FC7501">
        <w:t>’s</w:t>
      </w:r>
      <w:r w:rsidR="0026015D" w:rsidRPr="00FC7501">
        <w:t xml:space="preserve"> perspective,</w:t>
      </w:r>
      <w:r w:rsidR="000D7A87" w:rsidRPr="00FC7501">
        <w:t xml:space="preserve"> </w:t>
      </w:r>
      <w:r w:rsidR="0026015D" w:rsidRPr="00E81BDA">
        <w:t>a</w:t>
      </w:r>
      <w:r w:rsidR="000D7A87" w:rsidRPr="00E81BDA">
        <w:t>n increase in revenues is good</w:t>
      </w:r>
      <w:r w:rsidR="000D7A87" w:rsidRPr="00FC7501">
        <w:t xml:space="preserve">, so </w:t>
      </w:r>
      <w:proofErr w:type="gramStart"/>
      <w:r w:rsidR="000D7A87" w:rsidRPr="00FC7501">
        <w:t xml:space="preserve">a </w:t>
      </w:r>
      <w:r w:rsidR="000D7A87" w:rsidRPr="00E81BDA">
        <w:rPr>
          <w:b/>
          <w:i/>
        </w:rPr>
        <w:t>higher</w:t>
      </w:r>
      <w:proofErr w:type="gramEnd"/>
      <w:r w:rsidR="000D7A87" w:rsidRPr="00FC7501">
        <w:t xml:space="preserve"> </w:t>
      </w:r>
      <w:r w:rsidR="000D7A87" w:rsidRPr="00E81BDA">
        <w:rPr>
          <w:b/>
          <w:i/>
        </w:rPr>
        <w:t>revenue</w:t>
      </w:r>
      <w:r w:rsidR="000D7A87" w:rsidRPr="00FC7501">
        <w:t xml:space="preserve"> </w:t>
      </w:r>
      <w:r>
        <w:t>due to</w:t>
      </w:r>
      <w:r w:rsidR="000D7A87" w:rsidRPr="00FC7501">
        <w:t xml:space="preserve"> improvement actions should be a </w:t>
      </w:r>
      <w:r w:rsidR="000D7A87" w:rsidRPr="00E81BDA">
        <w:rPr>
          <w:b/>
          <w:i/>
        </w:rPr>
        <w:t>positive</w:t>
      </w:r>
      <w:r w:rsidR="000D7A87" w:rsidRPr="00FC7501">
        <w:t xml:space="preserve"> number.</w:t>
      </w:r>
      <w:r w:rsidR="00381E52">
        <w:t xml:space="preserve"> </w:t>
      </w:r>
      <w:r w:rsidR="000D7A87" w:rsidRPr="00FC7501">
        <w:t xml:space="preserve">On the other hand, </w:t>
      </w:r>
      <w:r w:rsidR="000D7A87" w:rsidRPr="00E81BDA">
        <w:t>a decrease in costs is good</w:t>
      </w:r>
      <w:r w:rsidR="000D7A87" w:rsidRPr="00FC7501">
        <w:t xml:space="preserve">, so a </w:t>
      </w:r>
      <w:r w:rsidRPr="00E81BDA">
        <w:rPr>
          <w:b/>
          <w:i/>
        </w:rPr>
        <w:t>lower cost</w:t>
      </w:r>
      <w:r>
        <w:t xml:space="preserve"> due to improvement actions</w:t>
      </w:r>
      <w:r w:rsidR="000D7A87" w:rsidRPr="00FC7501">
        <w:t xml:space="preserve"> is good.</w:t>
      </w:r>
      <w:r w:rsidR="00381E52">
        <w:t xml:space="preserve"> </w:t>
      </w:r>
      <w:r w:rsidR="002E3F09" w:rsidRPr="00FC7501">
        <w:t>The instructions for calculation</w:t>
      </w:r>
      <w:r w:rsidR="005D5480" w:rsidRPr="00FC7501">
        <w:t>s</w:t>
      </w:r>
      <w:r w:rsidR="00D862EA">
        <w:t xml:space="preserve"> of net return</w:t>
      </w:r>
      <w:r w:rsidR="002E3F09" w:rsidRPr="00FC7501">
        <w:t xml:space="preserve"> </w:t>
      </w:r>
      <w:r w:rsidR="006F10FB" w:rsidRPr="00FC7501">
        <w:t>are</w:t>
      </w:r>
      <w:r w:rsidR="002E3F09" w:rsidRPr="00FC7501">
        <w:t xml:space="preserve"> provided on Worksheet 2.</w:t>
      </w:r>
    </w:p>
    <w:p w:rsidR="00EB30AF" w:rsidRPr="00FC7501" w:rsidRDefault="008507BB" w:rsidP="00764461">
      <w:proofErr w:type="gramStart"/>
      <w:r w:rsidRPr="00FC7501">
        <w:rPr>
          <w:b/>
        </w:rPr>
        <w:lastRenderedPageBreak/>
        <w:t>ROI Ratio</w:t>
      </w:r>
      <w:r w:rsidR="00975A46">
        <w:rPr>
          <w:b/>
        </w:rPr>
        <w:t xml:space="preserve"> Calculation</w:t>
      </w:r>
      <w:r w:rsidRPr="00FC7501">
        <w:rPr>
          <w:b/>
        </w:rPr>
        <w:t>.</w:t>
      </w:r>
      <w:proofErr w:type="gramEnd"/>
      <w:r w:rsidR="00381E52">
        <w:t xml:space="preserve"> </w:t>
      </w:r>
      <w:r w:rsidR="00A15058" w:rsidRPr="00FC7501">
        <w:t xml:space="preserve">Once you </w:t>
      </w:r>
      <w:r w:rsidR="00D31475">
        <w:t>have</w:t>
      </w:r>
      <w:r w:rsidR="00A15058" w:rsidRPr="00FC7501">
        <w:t xml:space="preserve"> </w:t>
      </w:r>
      <w:r w:rsidR="00D31475" w:rsidRPr="00FC7501">
        <w:t>estimat</w:t>
      </w:r>
      <w:r w:rsidR="00D31475">
        <w:t>ed</w:t>
      </w:r>
      <w:r w:rsidR="00D31475" w:rsidRPr="00FC7501">
        <w:t xml:space="preserve"> </w:t>
      </w:r>
      <w:r w:rsidR="00A15058" w:rsidRPr="00FC7501">
        <w:t>the implementation costs and the net effects on revenues and costs, the actual calculation of the ROI ratio is easy.</w:t>
      </w:r>
      <w:r w:rsidR="00381E52">
        <w:t xml:space="preserve"> </w:t>
      </w:r>
      <w:r w:rsidR="00A15058" w:rsidRPr="00FC7501">
        <w:t>Simply divide the estimated total net returns by the total implementation costs:</w:t>
      </w:r>
    </w:p>
    <w:p w:rsidR="00A15058" w:rsidRPr="00FC7501" w:rsidRDefault="00A15058" w:rsidP="0026015D">
      <w:pPr>
        <w:tabs>
          <w:tab w:val="left" w:pos="1800"/>
        </w:tabs>
        <w:spacing w:after="0"/>
        <w:ind w:left="900"/>
        <w:rPr>
          <w:rFonts w:ascii="Arial" w:hAnsi="Arial" w:cs="Arial"/>
          <w:sz w:val="20"/>
          <w:szCs w:val="20"/>
        </w:rPr>
      </w:pPr>
      <w:r w:rsidRPr="00FC7501">
        <w:rPr>
          <w:rFonts w:ascii="Arial" w:hAnsi="Arial" w:cs="Arial"/>
          <w:sz w:val="20"/>
          <w:szCs w:val="20"/>
        </w:rPr>
        <w:t>ROI</w:t>
      </w:r>
      <w:r w:rsidR="00381E52">
        <w:rPr>
          <w:rFonts w:ascii="Arial" w:hAnsi="Arial" w:cs="Arial"/>
          <w:sz w:val="20"/>
          <w:szCs w:val="20"/>
        </w:rPr>
        <w:t xml:space="preserve"> </w:t>
      </w:r>
      <w:r w:rsidRPr="00FC7501">
        <w:rPr>
          <w:rFonts w:ascii="Arial" w:hAnsi="Arial" w:cs="Arial"/>
          <w:sz w:val="20"/>
          <w:szCs w:val="20"/>
        </w:rPr>
        <w:t xml:space="preserve">= </w:t>
      </w:r>
      <w:r w:rsidR="0026015D" w:rsidRPr="00FC7501">
        <w:rPr>
          <w:rFonts w:ascii="Arial" w:hAnsi="Arial" w:cs="Arial"/>
          <w:sz w:val="20"/>
          <w:szCs w:val="20"/>
        </w:rPr>
        <w:t xml:space="preserve">Worksheet 2 Total (returns) / </w:t>
      </w:r>
      <w:r w:rsidRPr="00FC7501">
        <w:rPr>
          <w:rFonts w:ascii="Arial" w:hAnsi="Arial" w:cs="Arial"/>
          <w:sz w:val="20"/>
          <w:szCs w:val="20"/>
        </w:rPr>
        <w:t>Worksheet 1 Total</w:t>
      </w:r>
      <w:r w:rsidR="0026015D" w:rsidRPr="00FC7501">
        <w:rPr>
          <w:rFonts w:ascii="Arial" w:hAnsi="Arial" w:cs="Arial"/>
          <w:sz w:val="20"/>
          <w:szCs w:val="20"/>
        </w:rPr>
        <w:t xml:space="preserve"> (investment)</w:t>
      </w:r>
    </w:p>
    <w:p w:rsidR="009D7943" w:rsidRPr="00FC7501" w:rsidRDefault="009D7943" w:rsidP="0026015D">
      <w:pPr>
        <w:tabs>
          <w:tab w:val="left" w:pos="1800"/>
        </w:tabs>
        <w:spacing w:after="0"/>
        <w:ind w:left="900"/>
        <w:rPr>
          <w:rFonts w:ascii="Arial" w:hAnsi="Arial" w:cs="Arial"/>
          <w:sz w:val="20"/>
          <w:szCs w:val="20"/>
        </w:rPr>
      </w:pPr>
    </w:p>
    <w:p w:rsidR="000453C2" w:rsidRPr="00882C78" w:rsidRDefault="00975A46" w:rsidP="00764461">
      <w:r w:rsidRPr="00882C78">
        <w:rPr>
          <w:b/>
        </w:rPr>
        <w:t xml:space="preserve">Cost Savings </w:t>
      </w:r>
      <w:r>
        <w:rPr>
          <w:b/>
        </w:rPr>
        <w:t>Calculation</w:t>
      </w:r>
      <w:r w:rsidR="009D7943" w:rsidRPr="00882C78">
        <w:rPr>
          <w:b/>
        </w:rPr>
        <w:t>.</w:t>
      </w:r>
      <w:r w:rsidR="00381E52">
        <w:t xml:space="preserve"> </w:t>
      </w:r>
      <w:r w:rsidR="009D7943" w:rsidRPr="00882C78">
        <w:t>The two worksheets can also be used to calculate cost savings, another indicator of financial effects of the quality improvement program</w:t>
      </w:r>
      <w:r w:rsidR="000453C2" w:rsidRPr="00882C78">
        <w:t xml:space="preserve">. </w:t>
      </w:r>
      <w:r w:rsidR="00D31475" w:rsidRPr="00882C78">
        <w:t>T</w:t>
      </w:r>
      <w:r w:rsidR="000453C2" w:rsidRPr="00882C78">
        <w:t xml:space="preserve">he cost savings </w:t>
      </w:r>
      <w:r w:rsidR="009D7943" w:rsidRPr="00882C78">
        <w:t xml:space="preserve">may be of interest to </w:t>
      </w:r>
      <w:r w:rsidR="000453C2" w:rsidRPr="00882C78">
        <w:t>hospital managers</w:t>
      </w:r>
      <w:r w:rsidR="00653E2C" w:rsidRPr="00882C78">
        <w:t xml:space="preserve"> </w:t>
      </w:r>
      <w:r w:rsidR="00D31475" w:rsidRPr="00882C78">
        <w:t>to answer</w:t>
      </w:r>
      <w:r w:rsidR="00F37447" w:rsidRPr="00882C78">
        <w:t xml:space="preserve"> a basic question:</w:t>
      </w:r>
      <w:r w:rsidR="00381E52">
        <w:t xml:space="preserve"> </w:t>
      </w:r>
      <w:r w:rsidR="00F37447" w:rsidRPr="00882C78">
        <w:t>“How much did we save?”</w:t>
      </w:r>
      <w:r w:rsidR="00381E52">
        <w:t xml:space="preserve"> </w:t>
      </w:r>
      <w:r w:rsidR="00F37447" w:rsidRPr="00882C78">
        <w:t>The cost savings</w:t>
      </w:r>
      <w:r w:rsidR="000453C2" w:rsidRPr="00882C78">
        <w:t xml:space="preserve"> </w:t>
      </w:r>
      <w:r w:rsidR="009D7943" w:rsidRPr="00882C78">
        <w:t>is the difference between r</w:t>
      </w:r>
      <w:r w:rsidR="000453C2" w:rsidRPr="00882C78">
        <w:t>eturns and costs:</w:t>
      </w:r>
    </w:p>
    <w:p w:rsidR="009D7943" w:rsidRDefault="000453C2" w:rsidP="00FC7501">
      <w:pPr>
        <w:tabs>
          <w:tab w:val="left" w:pos="1800"/>
        </w:tabs>
        <w:spacing w:after="0"/>
        <w:ind w:left="900"/>
        <w:rPr>
          <w:rFonts w:ascii="Arial" w:hAnsi="Arial" w:cs="Arial"/>
          <w:sz w:val="20"/>
          <w:szCs w:val="20"/>
        </w:rPr>
      </w:pPr>
      <w:r w:rsidRPr="00882C78">
        <w:rPr>
          <w:rFonts w:ascii="Arial" w:hAnsi="Arial" w:cs="Arial"/>
          <w:sz w:val="20"/>
          <w:szCs w:val="20"/>
        </w:rPr>
        <w:t>Cost Savings</w:t>
      </w:r>
      <w:r w:rsidR="00381E52">
        <w:rPr>
          <w:rFonts w:ascii="Arial" w:hAnsi="Arial" w:cs="Arial"/>
          <w:sz w:val="20"/>
          <w:szCs w:val="20"/>
        </w:rPr>
        <w:t xml:space="preserve"> </w:t>
      </w:r>
      <w:r w:rsidR="009D7943" w:rsidRPr="00882C78">
        <w:rPr>
          <w:rFonts w:ascii="Arial" w:hAnsi="Arial" w:cs="Arial"/>
          <w:sz w:val="20"/>
          <w:szCs w:val="20"/>
        </w:rPr>
        <w:t xml:space="preserve">= Worksheet 2 Total (returns) </w:t>
      </w:r>
      <w:r w:rsidR="00830331" w:rsidRPr="00882C78">
        <w:rPr>
          <w:rFonts w:ascii="Arial" w:hAnsi="Arial" w:cs="Arial"/>
          <w:sz w:val="20"/>
          <w:szCs w:val="20"/>
        </w:rPr>
        <w:t>−</w:t>
      </w:r>
      <w:r w:rsidR="009D7943" w:rsidRPr="00882C78">
        <w:rPr>
          <w:rFonts w:ascii="Arial" w:hAnsi="Arial" w:cs="Arial"/>
          <w:sz w:val="20"/>
          <w:szCs w:val="20"/>
        </w:rPr>
        <w:t xml:space="preserve"> Worksheet 1 Total (investment)</w:t>
      </w:r>
    </w:p>
    <w:p w:rsidR="00461FE3" w:rsidRPr="00FC7501" w:rsidRDefault="00461FE3" w:rsidP="00FC7501">
      <w:pPr>
        <w:tabs>
          <w:tab w:val="left" w:pos="1800"/>
        </w:tabs>
        <w:spacing w:after="0"/>
        <w:ind w:left="900"/>
        <w:rPr>
          <w:rFonts w:ascii="Arial" w:hAnsi="Arial" w:cs="Arial"/>
          <w:sz w:val="20"/>
          <w:szCs w:val="20"/>
        </w:rPr>
      </w:pPr>
    </w:p>
    <w:p w:rsidR="00F9132B" w:rsidRPr="00FC7501" w:rsidRDefault="00F9132B" w:rsidP="00CC3DE2">
      <w:pPr>
        <w:pStyle w:val="Heading3"/>
      </w:pPr>
      <w:proofErr w:type="gramStart"/>
      <w:r w:rsidRPr="00FC7501">
        <w:t>Step 3.</w:t>
      </w:r>
      <w:proofErr w:type="gramEnd"/>
      <w:r w:rsidR="00381E52">
        <w:t xml:space="preserve"> </w:t>
      </w:r>
      <w:r w:rsidRPr="00FC7501">
        <w:t>Interpret the ROI Ratio Obtained</w:t>
      </w:r>
    </w:p>
    <w:p w:rsidR="00743343" w:rsidRPr="005205FF" w:rsidRDefault="00D1225D" w:rsidP="005205FF">
      <w:r>
        <w:t>Once calculated, the ROI ratio needs to be interpreted.</w:t>
      </w:r>
      <w:r w:rsidR="00381E52">
        <w:t xml:space="preserve"> </w:t>
      </w:r>
      <w:r>
        <w:t>The following guidelines can be used to understand the meaning of the ROI ratio.</w:t>
      </w:r>
    </w:p>
    <w:p w:rsidR="00F6382F" w:rsidRPr="00FC7501" w:rsidRDefault="00F6382F" w:rsidP="00764461">
      <w:pPr>
        <w:pStyle w:val="ListNumber2"/>
        <w:numPr>
          <w:ilvl w:val="0"/>
          <w:numId w:val="30"/>
        </w:numPr>
      </w:pPr>
      <w:r w:rsidRPr="00764461">
        <w:rPr>
          <w:i/>
        </w:rPr>
        <w:t>ROI greater than</w:t>
      </w:r>
      <w:r w:rsidR="00743343">
        <w:rPr>
          <w:i/>
        </w:rPr>
        <w:t xml:space="preserve"> or equal to</w:t>
      </w:r>
      <w:r w:rsidRPr="00764461">
        <w:rPr>
          <w:i/>
        </w:rPr>
        <w:t xml:space="preserve"> 1</w:t>
      </w:r>
      <w:r w:rsidRPr="00FC7501">
        <w:t>:</w:t>
      </w:r>
      <w:r w:rsidR="00381E52">
        <w:t xml:space="preserve"> </w:t>
      </w:r>
      <w:r w:rsidRPr="00FC7501">
        <w:t>When an ROI is greater than</w:t>
      </w:r>
      <w:r w:rsidR="00B73AD1">
        <w:t xml:space="preserve"> or equal to</w:t>
      </w:r>
      <w:r w:rsidRPr="00FC7501">
        <w:t xml:space="preserve"> </w:t>
      </w:r>
      <w:r w:rsidR="00830331">
        <w:t>1</w:t>
      </w:r>
      <w:r w:rsidRPr="00FC7501">
        <w:t xml:space="preserve">, the </w:t>
      </w:r>
      <w:r w:rsidR="004C05EC" w:rsidRPr="00FC7501">
        <w:t>returns</w:t>
      </w:r>
      <w:r w:rsidRPr="00FC7501">
        <w:t xml:space="preserve"> generated by improvement actions are greater than </w:t>
      </w:r>
      <w:r w:rsidR="00AB40C7">
        <w:t xml:space="preserve">or </w:t>
      </w:r>
      <w:r w:rsidR="00B73AD1">
        <w:t xml:space="preserve">equal to </w:t>
      </w:r>
      <w:r w:rsidRPr="00FC7501">
        <w:t>the costs for development and implementation.</w:t>
      </w:r>
      <w:r w:rsidR="00381E52">
        <w:t xml:space="preserve"> </w:t>
      </w:r>
      <w:r w:rsidRPr="00FC7501">
        <w:t xml:space="preserve">In this case, ROI is considered to be </w:t>
      </w:r>
      <w:r w:rsidRPr="00461FE3">
        <w:rPr>
          <w:b/>
          <w:i/>
        </w:rPr>
        <w:t>positive</w:t>
      </w:r>
      <w:r w:rsidRPr="00FC7501">
        <w:t>.</w:t>
      </w:r>
      <w:r w:rsidR="00381E52">
        <w:t xml:space="preserve"> </w:t>
      </w:r>
      <w:r w:rsidRPr="00FC7501">
        <w:t>For example, an ROI of 1.8 indicates that for every $1 you</w:t>
      </w:r>
      <w:r w:rsidR="00975A46">
        <w:t xml:space="preserve"> invest</w:t>
      </w:r>
      <w:r w:rsidRPr="00FC7501">
        <w:t xml:space="preserve"> in the quality improvement program, $1.80 will be gained for the hospital.</w:t>
      </w:r>
    </w:p>
    <w:p w:rsidR="00F6382F" w:rsidRPr="00FC7501" w:rsidRDefault="00F6382F" w:rsidP="00764461">
      <w:pPr>
        <w:pStyle w:val="ListNumber2"/>
      </w:pPr>
      <w:r w:rsidRPr="00764461">
        <w:rPr>
          <w:i/>
        </w:rPr>
        <w:t xml:space="preserve">ROI less than </w:t>
      </w:r>
      <w:r w:rsidR="00EB1B65">
        <w:rPr>
          <w:i/>
        </w:rPr>
        <w:t>1</w:t>
      </w:r>
      <w:r w:rsidRPr="00FC7501">
        <w:t>:</w:t>
      </w:r>
      <w:r w:rsidR="00381E52">
        <w:t xml:space="preserve"> </w:t>
      </w:r>
      <w:r w:rsidRPr="00FC7501">
        <w:t xml:space="preserve">With an ROI of less than </w:t>
      </w:r>
      <w:r w:rsidR="00EB1B65">
        <w:t>1</w:t>
      </w:r>
      <w:r w:rsidRPr="00FC7501">
        <w:t xml:space="preserve">, the improvement actions </w:t>
      </w:r>
      <w:r w:rsidR="004C05EC" w:rsidRPr="00FC7501">
        <w:t>yield</w:t>
      </w:r>
      <w:r w:rsidRPr="00FC7501">
        <w:t xml:space="preserve"> </w:t>
      </w:r>
      <w:r w:rsidR="004C05EC" w:rsidRPr="00FC7501">
        <w:t>a</w:t>
      </w:r>
      <w:r w:rsidRPr="00FC7501">
        <w:t xml:space="preserve"> net </w:t>
      </w:r>
      <w:r w:rsidR="004C05EC" w:rsidRPr="00FC7501">
        <w:t>loss</w:t>
      </w:r>
      <w:r w:rsidRPr="00FC7501">
        <w:t xml:space="preserve"> from changes in quality and utilization.</w:t>
      </w:r>
      <w:r w:rsidR="00381E52">
        <w:t xml:space="preserve"> </w:t>
      </w:r>
      <w:r w:rsidRPr="00FC7501">
        <w:t xml:space="preserve">In this case, ROI is considered to be </w:t>
      </w:r>
      <w:r w:rsidRPr="00FC7501">
        <w:rPr>
          <w:b/>
          <w:i/>
        </w:rPr>
        <w:t>negative</w:t>
      </w:r>
      <w:r w:rsidRPr="00FC7501">
        <w:t>.</w:t>
      </w:r>
      <w:r w:rsidR="00381E52">
        <w:t xml:space="preserve"> </w:t>
      </w:r>
      <w:r w:rsidRPr="00FC7501">
        <w:t>For example, an ROI of -1.5 indicates that for every $1 invested, $1.5</w:t>
      </w:r>
      <w:r w:rsidR="00830331">
        <w:t>0</w:t>
      </w:r>
      <w:r w:rsidRPr="00FC7501">
        <w:t xml:space="preserve"> will be lost by the hospital.</w:t>
      </w:r>
      <w:r w:rsidR="00381E52">
        <w:t xml:space="preserve"> </w:t>
      </w:r>
      <w:r w:rsidR="00EB1B65">
        <w:t xml:space="preserve">As another example, </w:t>
      </w:r>
      <w:r w:rsidR="00EB1B65" w:rsidRPr="00FC7501">
        <w:t>an ROI of 0.8 indicates that for every $1 invested, 80 cents will be recouped by the hospital.</w:t>
      </w:r>
      <w:r w:rsidR="00381E52">
        <w:t xml:space="preserve"> </w:t>
      </w:r>
      <w:r w:rsidR="00EB1B65" w:rsidRPr="00FC7501">
        <w:t>In other words, the hospital loses 20 cents for every $1 it spen</w:t>
      </w:r>
      <w:r w:rsidR="00975A46">
        <w:t>ds</w:t>
      </w:r>
      <w:r w:rsidR="00EB1B65" w:rsidRPr="00FC7501">
        <w:t xml:space="preserve"> on the quality program.</w:t>
      </w:r>
    </w:p>
    <w:p w:rsidR="00000B2B" w:rsidRDefault="00000B2B" w:rsidP="000034E6">
      <w:pPr>
        <w:spacing w:before="240"/>
        <w:sectPr w:rsidR="00000B2B" w:rsidSect="00EE3F61">
          <w:pgSz w:w="12240" w:h="15840" w:code="1"/>
          <w:pgMar w:top="1440" w:right="1440" w:bottom="1440" w:left="1440" w:header="720" w:footer="720" w:gutter="0"/>
          <w:pgNumType w:start="1"/>
          <w:cols w:space="720"/>
          <w:docGrid w:linePitch="360"/>
        </w:sectPr>
      </w:pPr>
    </w:p>
    <w:p w:rsidR="00335D7D" w:rsidRPr="00CC3DE2" w:rsidRDefault="00351520" w:rsidP="00CC3DE2">
      <w:pPr>
        <w:pStyle w:val="Heading2"/>
        <w:spacing w:after="240"/>
        <w:jc w:val="center"/>
        <w:rPr>
          <w:i w:val="0"/>
        </w:rPr>
      </w:pPr>
      <w:r w:rsidRPr="00CC3DE2">
        <w:rPr>
          <w:i w:val="0"/>
        </w:rPr>
        <w:lastRenderedPageBreak/>
        <w:t xml:space="preserve">Additional Guidance </w:t>
      </w:r>
      <w:r w:rsidR="00FC7501" w:rsidRPr="00CC3DE2">
        <w:rPr>
          <w:i w:val="0"/>
        </w:rPr>
        <w:t>for</w:t>
      </w:r>
      <w:r w:rsidRPr="00CC3DE2">
        <w:rPr>
          <w:i w:val="0"/>
        </w:rPr>
        <w:t xml:space="preserve"> Effective ROI Calculation</w:t>
      </w:r>
    </w:p>
    <w:p w:rsidR="00DF3917" w:rsidRPr="00FC7501" w:rsidRDefault="00EB0535" w:rsidP="00461FE3">
      <w:r>
        <w:t>T</w:t>
      </w:r>
      <w:r w:rsidR="002A5C6A" w:rsidRPr="00FC7501">
        <w:t>his section</w:t>
      </w:r>
      <w:r>
        <w:t xml:space="preserve"> includes</w:t>
      </w:r>
      <w:r w:rsidR="002A5C6A" w:rsidRPr="00FC7501">
        <w:t xml:space="preserve"> additional suggestions for how to prepare for your ROI calculation and work </w:t>
      </w:r>
      <w:r>
        <w:t>through</w:t>
      </w:r>
      <w:r w:rsidRPr="00FC7501">
        <w:t xml:space="preserve"> </w:t>
      </w:r>
      <w:r w:rsidR="002A5C6A" w:rsidRPr="00FC7501">
        <w:t>some key measurement issues.</w:t>
      </w:r>
      <w:r w:rsidR="00381E52">
        <w:t xml:space="preserve"> </w:t>
      </w:r>
      <w:r w:rsidR="00DF3917" w:rsidRPr="00FC7501">
        <w:t>See Appendix II for information about existing ROI calculators.</w:t>
      </w:r>
    </w:p>
    <w:p w:rsidR="006F10FB" w:rsidRPr="00FC7501" w:rsidRDefault="006F10FB" w:rsidP="00764461">
      <w:pPr>
        <w:pStyle w:val="Heading3"/>
      </w:pPr>
      <w:r w:rsidRPr="00FC7501">
        <w:t>Understanding the Point of View for ROI Calculations</w:t>
      </w:r>
    </w:p>
    <w:p w:rsidR="006541C3" w:rsidRPr="00FC7501" w:rsidRDefault="00A630E3" w:rsidP="00461FE3">
      <w:r w:rsidRPr="00FC7501">
        <w:t>When performing the ROI calculations described here, you will develop estimates that represent the perspective of the hospital—both the investments and net returns are those of the hospital itself, as is the resulting ROI ratio.</w:t>
      </w:r>
      <w:r w:rsidR="00381E52">
        <w:t xml:space="preserve"> </w:t>
      </w:r>
      <w:r w:rsidRPr="00FC7501">
        <w:t>It is important to note that the implementation of improvement actions is likely to also have effects on other stakeholders with different points of view.</w:t>
      </w:r>
      <w:r w:rsidR="00381E52">
        <w:t xml:space="preserve"> </w:t>
      </w:r>
      <w:r w:rsidRPr="00FC7501">
        <w:t>For example, reducing infections will affect costs to insurers from changes in payments made to the hospital, which will depend on the nature of each insurer’s payment policy.</w:t>
      </w:r>
      <w:r w:rsidR="00381E52">
        <w:t xml:space="preserve"> </w:t>
      </w:r>
      <w:r w:rsidRPr="00FC7501">
        <w:t>At the start of each ROI</w:t>
      </w:r>
      <w:r w:rsidR="0099747A">
        <w:t xml:space="preserve"> analysis</w:t>
      </w:r>
      <w:r w:rsidRPr="00FC7501">
        <w:t xml:space="preserve">, it will be useful to consider what the effects may be for other stakeholders and </w:t>
      </w:r>
      <w:r w:rsidR="009A5C03" w:rsidRPr="00FC7501">
        <w:t xml:space="preserve">to take </w:t>
      </w:r>
      <w:r w:rsidRPr="00FC7501">
        <w:t xml:space="preserve">possible responses on their part into account </w:t>
      </w:r>
      <w:r w:rsidR="006A663D" w:rsidRPr="00FC7501">
        <w:t>whe</w:t>
      </w:r>
      <w:r w:rsidRPr="00FC7501">
        <w:t>n designing the improvement actions.</w:t>
      </w:r>
    </w:p>
    <w:p w:rsidR="00E0666F" w:rsidRDefault="00E0666F">
      <w:pPr>
        <w:spacing w:after="0"/>
        <w:rPr>
          <w:rFonts w:ascii="Arial" w:eastAsia="SimSun" w:hAnsi="Arial"/>
          <w:b/>
          <w:bCs/>
          <w:szCs w:val="27"/>
          <w:lang w:eastAsia="zh-CN"/>
        </w:rPr>
      </w:pPr>
      <w:r>
        <w:br w:type="page"/>
      </w:r>
    </w:p>
    <w:p w:rsidR="00A1453D" w:rsidRPr="00FC7501" w:rsidRDefault="0071180C" w:rsidP="00764461">
      <w:pPr>
        <w:pStyle w:val="Heading3"/>
      </w:pPr>
      <w:r>
        <w:lastRenderedPageBreak/>
        <w:t>Assembling</w:t>
      </w:r>
      <w:r w:rsidR="00A1453D" w:rsidRPr="00FC7501">
        <w:t xml:space="preserve"> the ROI</w:t>
      </w:r>
      <w:r>
        <w:t xml:space="preserve"> </w:t>
      </w:r>
      <w:r w:rsidR="00E0666F">
        <w:t>T</w:t>
      </w:r>
      <w:r>
        <w:t>eam</w:t>
      </w:r>
    </w:p>
    <w:p w:rsidR="00EB0535" w:rsidRDefault="00A1453D" w:rsidP="00461FE3">
      <w:r w:rsidRPr="00FC7501">
        <w:t>Four groups of hospital staff</w:t>
      </w:r>
      <w:r w:rsidR="00EB0535">
        <w:t>, in particular, are likely to</w:t>
      </w:r>
      <w:r w:rsidRPr="00FC7501">
        <w:t xml:space="preserve"> be involved in estimating the ROI</w:t>
      </w:r>
      <w:r w:rsidR="00EB0535">
        <w:t xml:space="preserve">, although others may be involved in some </w:t>
      </w:r>
      <w:r w:rsidR="00D661F6">
        <w:t>cases</w:t>
      </w:r>
      <w:r w:rsidRPr="00FC7501">
        <w:t>.</w:t>
      </w:r>
      <w:r w:rsidR="00381E52">
        <w:t xml:space="preserve"> </w:t>
      </w:r>
    </w:p>
    <w:p w:rsidR="00EB0535" w:rsidRDefault="00EB0535" w:rsidP="007C03BF">
      <w:pPr>
        <w:pStyle w:val="ListParagraph"/>
        <w:numPr>
          <w:ilvl w:val="0"/>
          <w:numId w:val="32"/>
        </w:numPr>
      </w:pPr>
      <w:r>
        <w:t>Initially</w:t>
      </w:r>
      <w:r w:rsidR="00A1453D" w:rsidRPr="00FC7501">
        <w:t xml:space="preserve">, </w:t>
      </w:r>
      <w:r>
        <w:t>the</w:t>
      </w:r>
      <w:r w:rsidR="00A1453D" w:rsidRPr="00FC7501">
        <w:t xml:space="preserve"> quality improvement </w:t>
      </w:r>
      <w:r w:rsidR="008871E5">
        <w:t xml:space="preserve">team </w:t>
      </w:r>
      <w:r w:rsidR="00A1453D" w:rsidRPr="00FC7501">
        <w:t xml:space="preserve">needs to </w:t>
      </w:r>
      <w:r w:rsidR="00284BF9">
        <w:t>engage</w:t>
      </w:r>
      <w:r w:rsidR="00A1453D" w:rsidRPr="00FC7501">
        <w:t xml:space="preserve"> the </w:t>
      </w:r>
      <w:r w:rsidR="00A1453D" w:rsidRPr="00975A46">
        <w:rPr>
          <w:i/>
        </w:rPr>
        <w:t>hospital’s financial officers</w:t>
      </w:r>
      <w:r w:rsidR="00A1453D" w:rsidRPr="00FC7501">
        <w:t>, who can help track the investment/cost of the program.</w:t>
      </w:r>
      <w:r w:rsidR="00381E52">
        <w:t xml:space="preserve"> </w:t>
      </w:r>
    </w:p>
    <w:p w:rsidR="00EB0535" w:rsidRDefault="00EB0535" w:rsidP="007C03BF">
      <w:pPr>
        <w:pStyle w:val="ListParagraph"/>
        <w:numPr>
          <w:ilvl w:val="0"/>
          <w:numId w:val="32"/>
        </w:numPr>
      </w:pPr>
      <w:r w:rsidRPr="00975A46">
        <w:rPr>
          <w:i/>
        </w:rPr>
        <w:t>C</w:t>
      </w:r>
      <w:r w:rsidR="00A1453D" w:rsidRPr="00975A46">
        <w:rPr>
          <w:i/>
        </w:rPr>
        <w:t>linical and other staff</w:t>
      </w:r>
      <w:r w:rsidR="00A1453D" w:rsidRPr="00FC7501">
        <w:t xml:space="preserve"> (e.g.</w:t>
      </w:r>
      <w:r w:rsidR="0099747A">
        <w:t>,</w:t>
      </w:r>
      <w:r w:rsidR="00A1453D" w:rsidRPr="00FC7501">
        <w:t xml:space="preserve"> quality and patient safety </w:t>
      </w:r>
      <w:r w:rsidR="00CD4A51" w:rsidRPr="00FC7501">
        <w:t>staff</w:t>
      </w:r>
      <w:r w:rsidR="00A1453D" w:rsidRPr="00FC7501">
        <w:t xml:space="preserve"> at the hospital) running the quality improvement program should identify quality indicators that will be affected by the program.</w:t>
      </w:r>
    </w:p>
    <w:p w:rsidR="00EB0535" w:rsidRDefault="00EB0535" w:rsidP="007C03BF">
      <w:pPr>
        <w:pStyle w:val="ListParagraph"/>
        <w:numPr>
          <w:ilvl w:val="0"/>
          <w:numId w:val="32"/>
        </w:numPr>
      </w:pPr>
      <w:r w:rsidRPr="00975A46">
        <w:rPr>
          <w:i/>
        </w:rPr>
        <w:t>S</w:t>
      </w:r>
      <w:r w:rsidR="00A1453D" w:rsidRPr="00975A46">
        <w:rPr>
          <w:i/>
        </w:rPr>
        <w:t>tatisticians, data analyst</w:t>
      </w:r>
      <w:r w:rsidR="00CD4A51" w:rsidRPr="00975A46">
        <w:rPr>
          <w:i/>
        </w:rPr>
        <w:t>s,</w:t>
      </w:r>
      <w:r w:rsidR="00A1453D" w:rsidRPr="00975A46">
        <w:rPr>
          <w:i/>
        </w:rPr>
        <w:t xml:space="preserve"> and programmer</w:t>
      </w:r>
      <w:r w:rsidR="00CD4A51" w:rsidRPr="00975A46">
        <w:rPr>
          <w:i/>
        </w:rPr>
        <w:t>s</w:t>
      </w:r>
      <w:r w:rsidR="00A1453D" w:rsidRPr="00FC7501">
        <w:t xml:space="preserve"> can help the clinical staff estimate changes in the identified indicators using data available from the hospital and relevant information from other sources (</w:t>
      </w:r>
      <w:r w:rsidR="0099747A">
        <w:t>s</w:t>
      </w:r>
      <w:r w:rsidR="00A1453D" w:rsidRPr="00FC7501">
        <w:t>ee details below).</w:t>
      </w:r>
      <w:r w:rsidR="00381E52">
        <w:t xml:space="preserve"> </w:t>
      </w:r>
    </w:p>
    <w:p w:rsidR="00A1453D" w:rsidRPr="00FC7501" w:rsidRDefault="00EB0535" w:rsidP="007C03BF">
      <w:pPr>
        <w:pStyle w:val="ListParagraph"/>
        <w:numPr>
          <w:ilvl w:val="0"/>
          <w:numId w:val="32"/>
        </w:numPr>
      </w:pPr>
      <w:r>
        <w:t>S</w:t>
      </w:r>
      <w:r w:rsidR="00A1453D" w:rsidRPr="00FC7501">
        <w:t xml:space="preserve">ome hospitals may </w:t>
      </w:r>
      <w:r w:rsidR="007823D2">
        <w:t>decide</w:t>
      </w:r>
      <w:r w:rsidR="00A1453D" w:rsidRPr="00FC7501">
        <w:t xml:space="preserve"> to </w:t>
      </w:r>
      <w:r w:rsidR="00A1453D" w:rsidRPr="00D6133D">
        <w:t>hire</w:t>
      </w:r>
      <w:r w:rsidR="00A1453D" w:rsidRPr="0089042E">
        <w:rPr>
          <w:b/>
          <w:i/>
          <w:u w:val="single"/>
        </w:rPr>
        <w:t xml:space="preserve"> </w:t>
      </w:r>
      <w:r w:rsidR="00A1453D" w:rsidRPr="00975A46">
        <w:rPr>
          <w:i/>
        </w:rPr>
        <w:t>consultants for training and statistical analysis</w:t>
      </w:r>
      <w:r w:rsidR="00A1453D" w:rsidRPr="00FC7501">
        <w:t xml:space="preserve"> </w:t>
      </w:r>
      <w:r w:rsidR="0099747A">
        <w:t>related</w:t>
      </w:r>
      <w:r w:rsidR="00A1453D" w:rsidRPr="00FC7501">
        <w:t xml:space="preserve"> to quality improvement.</w:t>
      </w:r>
    </w:p>
    <w:p w:rsidR="00351520" w:rsidRPr="00FC7501" w:rsidRDefault="00D64B70" w:rsidP="00764461">
      <w:pPr>
        <w:pStyle w:val="Heading3"/>
      </w:pPr>
      <w:r w:rsidRPr="00FC7501">
        <w:t>Getting</w:t>
      </w:r>
      <w:r w:rsidR="00351520" w:rsidRPr="00FC7501">
        <w:t xml:space="preserve"> Ready To Conduct an ROI Calculation</w:t>
      </w:r>
    </w:p>
    <w:p w:rsidR="00351520" w:rsidRPr="00FC7501" w:rsidRDefault="00351520" w:rsidP="00461FE3">
      <w:r w:rsidRPr="00FC7501">
        <w:t xml:space="preserve">To use this tool </w:t>
      </w:r>
      <w:r w:rsidR="00CD4A51" w:rsidRPr="00FC7501">
        <w:t>for</w:t>
      </w:r>
      <w:r w:rsidRPr="00FC7501">
        <w:t xml:space="preserve"> calculating the ROI of an intervention, the hospital staff needs to know:</w:t>
      </w:r>
    </w:p>
    <w:p w:rsidR="00351520" w:rsidRPr="00FC7501" w:rsidRDefault="0020493C" w:rsidP="00764461">
      <w:pPr>
        <w:pStyle w:val="ListBullet2"/>
      </w:pPr>
      <w:r>
        <w:t>Elements of</w:t>
      </w:r>
      <w:r w:rsidR="00351520" w:rsidRPr="00FC7501">
        <w:t xml:space="preserve"> the program (including practices, technology, process or product)</w:t>
      </w:r>
      <w:r w:rsidR="00975A46">
        <w:t>.</w:t>
      </w:r>
    </w:p>
    <w:p w:rsidR="00351520" w:rsidRPr="00FC7501" w:rsidRDefault="0099747A" w:rsidP="00764461">
      <w:pPr>
        <w:pStyle w:val="ListBullet2"/>
      </w:pPr>
      <w:r>
        <w:t>R</w:t>
      </w:r>
      <w:r w:rsidR="00351520" w:rsidRPr="00FC7501">
        <w:t xml:space="preserve">esources </w:t>
      </w:r>
      <w:r>
        <w:t>needed</w:t>
      </w:r>
      <w:r w:rsidR="00351520" w:rsidRPr="00FC7501">
        <w:t xml:space="preserve"> to implement the intervention</w:t>
      </w:r>
      <w:r w:rsidR="00975A46">
        <w:t>.</w:t>
      </w:r>
    </w:p>
    <w:p w:rsidR="00351520" w:rsidRPr="00FC7501" w:rsidRDefault="0099747A" w:rsidP="00764461">
      <w:pPr>
        <w:pStyle w:val="ListBullet2"/>
      </w:pPr>
      <w:r>
        <w:t>T</w:t>
      </w:r>
      <w:r w:rsidR="00351520" w:rsidRPr="00FC7501">
        <w:t>arget population</w:t>
      </w:r>
      <w:r w:rsidR="00975A46">
        <w:t>.</w:t>
      </w:r>
    </w:p>
    <w:p w:rsidR="00351520" w:rsidRPr="00FC7501" w:rsidRDefault="0099747A" w:rsidP="00764461">
      <w:pPr>
        <w:pStyle w:val="ListBullet2"/>
      </w:pPr>
      <w:r>
        <w:t>M</w:t>
      </w:r>
      <w:r w:rsidR="00351520" w:rsidRPr="00FC7501">
        <w:t>easures of health care quality likely to be affected by the intervention</w:t>
      </w:r>
      <w:r w:rsidR="00975A46">
        <w:t>.</w:t>
      </w:r>
    </w:p>
    <w:p w:rsidR="00351520" w:rsidRDefault="0099747A" w:rsidP="00764461">
      <w:pPr>
        <w:pStyle w:val="ListBullet2"/>
      </w:pPr>
      <w:r>
        <w:t>M</w:t>
      </w:r>
      <w:r w:rsidR="00351520" w:rsidRPr="00FC7501">
        <w:t>easures of health care utilization likely to be affected by the intervention</w:t>
      </w:r>
      <w:r w:rsidR="00975A46">
        <w:t>.</w:t>
      </w:r>
    </w:p>
    <w:p w:rsidR="00C20E43" w:rsidRDefault="00C20E43" w:rsidP="00EE3F61">
      <w:pPr>
        <w:pStyle w:val="Heading3"/>
      </w:pPr>
      <w:r>
        <w:t xml:space="preserve">Using Existing Literature </w:t>
      </w:r>
      <w:r w:rsidR="00E0666F">
        <w:t>T</w:t>
      </w:r>
      <w:r>
        <w:t xml:space="preserve">o </w:t>
      </w:r>
      <w:r w:rsidR="00E0666F">
        <w:t>E</w:t>
      </w:r>
      <w:r>
        <w:t>stimate ROI</w:t>
      </w:r>
    </w:p>
    <w:p w:rsidR="00873881" w:rsidRDefault="00873881" w:rsidP="0089042E">
      <w:pPr>
        <w:pStyle w:val="ListBullet2"/>
        <w:numPr>
          <w:ilvl w:val="0"/>
          <w:numId w:val="0"/>
        </w:numPr>
      </w:pPr>
      <w:r w:rsidRPr="00CB28BC">
        <w:t>Although not ROI studies</w:t>
      </w:r>
      <w:r w:rsidR="007823D2">
        <w:t xml:space="preserve"> </w:t>
      </w:r>
      <w:r w:rsidR="007823D2">
        <w:rPr>
          <w:i/>
        </w:rPr>
        <w:t>per se</w:t>
      </w:r>
      <w:r w:rsidRPr="00CB28BC">
        <w:t xml:space="preserve">, many studies have reported on costs or hospital charges related to patient safety events (for example, Zhan and Miller using Healthcare Cost and Utilization Project data; </w:t>
      </w:r>
      <w:proofErr w:type="spellStart"/>
      <w:r w:rsidRPr="00CB28BC">
        <w:t>Rivard</w:t>
      </w:r>
      <w:proofErr w:type="spellEnd"/>
      <w:r w:rsidRPr="00CB28BC">
        <w:t xml:space="preserve">, et al., using Veterans Affairs data; and Foster using </w:t>
      </w:r>
      <w:proofErr w:type="spellStart"/>
      <w:r w:rsidRPr="00CB28BC">
        <w:t>MedPAR</w:t>
      </w:r>
      <w:proofErr w:type="spellEnd"/>
      <w:r w:rsidRPr="00CB28BC">
        <w:t xml:space="preserve"> data). See details about these papers in the section “Other Information Sources </w:t>
      </w:r>
      <w:proofErr w:type="gramStart"/>
      <w:r w:rsidRPr="00CB28BC">
        <w:t>To Assist With</w:t>
      </w:r>
      <w:proofErr w:type="gramEnd"/>
      <w:r w:rsidRPr="00CB28BC">
        <w:t xml:space="preserve"> Calculating ROI.”)</w:t>
      </w:r>
      <w:r w:rsidR="00381E52">
        <w:t xml:space="preserve"> </w:t>
      </w:r>
      <w:r w:rsidRPr="00CB28BC">
        <w:t>Their results might be useful for ROI calculation.</w:t>
      </w:r>
      <w:r w:rsidR="00381E52">
        <w:t xml:space="preserve"> </w:t>
      </w:r>
      <w:r w:rsidRPr="00CB28BC">
        <w:t>Few ROI analyses have been published in the health-services literature because they are not typically performed as research studies.</w:t>
      </w:r>
      <w:r w:rsidR="00381E52">
        <w:t xml:space="preserve"> </w:t>
      </w:r>
    </w:p>
    <w:p w:rsidR="001D2EC4" w:rsidRPr="00FC7501" w:rsidRDefault="001D2EC4" w:rsidP="00764461">
      <w:pPr>
        <w:pStyle w:val="Heading3"/>
      </w:pPr>
      <w:r w:rsidRPr="00FC7501">
        <w:t>Selecting the Time Horizon for ROI Calculation</w:t>
      </w:r>
    </w:p>
    <w:p w:rsidR="0020493C" w:rsidRDefault="001D2EC4" w:rsidP="00764461">
      <w:r w:rsidRPr="00FC7501">
        <w:t xml:space="preserve">Because a quality improvement program may </w:t>
      </w:r>
      <w:r w:rsidR="00CD4A51" w:rsidRPr="00FC7501">
        <w:t>continue</w:t>
      </w:r>
      <w:r w:rsidRPr="00FC7501">
        <w:t xml:space="preserve"> </w:t>
      </w:r>
      <w:r w:rsidR="00CD4A51" w:rsidRPr="00FC7501">
        <w:t xml:space="preserve">for </w:t>
      </w:r>
      <w:r w:rsidRPr="00FC7501">
        <w:t>a number of years, ROI can be calculated for part of the program period (e.g.</w:t>
      </w:r>
      <w:r w:rsidR="0020493C">
        <w:t>,</w:t>
      </w:r>
      <w:r w:rsidRPr="00FC7501">
        <w:t xml:space="preserve"> the first year of a </w:t>
      </w:r>
      <w:r w:rsidR="0020493C">
        <w:t>5</w:t>
      </w:r>
      <w:r w:rsidRPr="00FC7501">
        <w:t>-year program) or for the entire program (e.g.</w:t>
      </w:r>
      <w:r w:rsidR="0020493C">
        <w:t>,</w:t>
      </w:r>
      <w:r w:rsidRPr="00FC7501">
        <w:t xml:space="preserve"> the entire </w:t>
      </w:r>
      <w:r w:rsidR="0020493C">
        <w:t>5</w:t>
      </w:r>
      <w:r w:rsidRPr="00FC7501">
        <w:t xml:space="preserve"> years of a </w:t>
      </w:r>
      <w:r w:rsidR="0020493C">
        <w:t>5</w:t>
      </w:r>
      <w:r w:rsidRPr="00FC7501">
        <w:t>-year program).</w:t>
      </w:r>
      <w:r w:rsidR="00381E52">
        <w:t xml:space="preserve"> </w:t>
      </w:r>
      <w:r w:rsidR="002A5C6A" w:rsidRPr="00FC7501">
        <w:t>The choice of</w:t>
      </w:r>
      <w:r w:rsidRPr="00FC7501">
        <w:t xml:space="preserve"> the time horizon for the ROI calculation will affect results of the calculation </w:t>
      </w:r>
      <w:r w:rsidR="00841E65">
        <w:t>in two ways</w:t>
      </w:r>
      <w:r w:rsidR="00EB0535">
        <w:t>:</w:t>
      </w:r>
      <w:r w:rsidR="00381E52">
        <w:t xml:space="preserve"> </w:t>
      </w:r>
    </w:p>
    <w:p w:rsidR="001D2EC4" w:rsidRPr="00FC7501" w:rsidRDefault="001D2EC4" w:rsidP="00E81BDA">
      <w:pPr>
        <w:pStyle w:val="ListParagraph"/>
        <w:numPr>
          <w:ilvl w:val="0"/>
          <w:numId w:val="33"/>
        </w:numPr>
      </w:pPr>
      <w:r w:rsidRPr="00FC7501">
        <w:t>First, the costs of a quality improvement program usually are incurred at the beginning of the program while the hospital has to wait for some time to see the return.</w:t>
      </w:r>
      <w:r w:rsidR="00381E52">
        <w:t xml:space="preserve"> </w:t>
      </w:r>
      <w:r w:rsidRPr="00FC7501">
        <w:t>So, if the ROI is calculated at the initial stage of the program, the result is likely to be negative.</w:t>
      </w:r>
      <w:r w:rsidR="00381E52">
        <w:t xml:space="preserve"> </w:t>
      </w:r>
      <w:r w:rsidRPr="00FC7501">
        <w:t>In comparison, if the ROI is calculated in the long run, the chance of having positive results will increase</w:t>
      </w:r>
      <w:r w:rsidR="007C03BF">
        <w:t>.</w:t>
      </w:r>
    </w:p>
    <w:p w:rsidR="001D2EC4" w:rsidRPr="00FC7501" w:rsidRDefault="001D2EC4" w:rsidP="00E81BDA">
      <w:pPr>
        <w:pStyle w:val="ListParagraph"/>
        <w:numPr>
          <w:ilvl w:val="0"/>
          <w:numId w:val="33"/>
        </w:numPr>
      </w:pPr>
      <w:r w:rsidRPr="00FC7501">
        <w:t xml:space="preserve">Second, if the time horizon is only </w:t>
      </w:r>
      <w:r w:rsidR="00975A46">
        <w:t>1</w:t>
      </w:r>
      <w:r w:rsidRPr="00FC7501">
        <w:t xml:space="preserve"> year, the cost calculation may not need to consider the issues of inflation, discounting, and depreciation. In comparison, if the time horizon </w:t>
      </w:r>
      <w:r w:rsidRPr="00FC7501">
        <w:lastRenderedPageBreak/>
        <w:t xml:space="preserve">for an ROI analysis is </w:t>
      </w:r>
      <w:r w:rsidR="0020493C">
        <w:t>2</w:t>
      </w:r>
      <w:r w:rsidRPr="00FC7501">
        <w:t xml:space="preserve"> years or longer, the analysis has to adjust for the</w:t>
      </w:r>
      <w:r w:rsidR="00AD3D61" w:rsidRPr="00FC7501">
        <w:t>se</w:t>
      </w:r>
      <w:r w:rsidRPr="00FC7501">
        <w:t xml:space="preserve"> issues</w:t>
      </w:r>
      <w:r w:rsidR="00AD3D61" w:rsidRPr="00FC7501">
        <w:t>, as described in the next section</w:t>
      </w:r>
      <w:r w:rsidRPr="00FC7501">
        <w:t>.</w:t>
      </w:r>
      <w:r w:rsidR="00381E52">
        <w:t xml:space="preserve"> </w:t>
      </w:r>
    </w:p>
    <w:p w:rsidR="001D2EC4" w:rsidRPr="00FC7501" w:rsidRDefault="00975A46" w:rsidP="00764461">
      <w:pPr>
        <w:pStyle w:val="Heading3"/>
      </w:pPr>
      <w:r>
        <w:t xml:space="preserve">Making </w:t>
      </w:r>
      <w:r w:rsidR="001D2EC4" w:rsidRPr="00FC7501">
        <w:t>Adjustments for Future Costs and Savings</w:t>
      </w:r>
    </w:p>
    <w:p w:rsidR="001D2EC4" w:rsidRPr="00FC7501" w:rsidRDefault="001D2EC4" w:rsidP="00764461">
      <w:pPr>
        <w:pStyle w:val="ListBullet2"/>
      </w:pPr>
      <w:r w:rsidRPr="00FC7501">
        <w:rPr>
          <w:i/>
        </w:rPr>
        <w:t>Inflation</w:t>
      </w:r>
      <w:r w:rsidRPr="00FC7501">
        <w:t xml:space="preserve"> refers to rises in the prices of goods and services over a period of time. The ROI calculation can adjust for inflation by using constant dollars to measure the costs of a program over time.</w:t>
      </w:r>
    </w:p>
    <w:p w:rsidR="001D2EC4" w:rsidRPr="00FC7501" w:rsidRDefault="001D2EC4" w:rsidP="00764461">
      <w:pPr>
        <w:pStyle w:val="ListBullet2"/>
      </w:pPr>
      <w:r w:rsidRPr="00FC7501">
        <w:rPr>
          <w:i/>
        </w:rPr>
        <w:t>Discounting</w:t>
      </w:r>
      <w:r w:rsidRPr="00FC7501">
        <w:t xml:space="preserve"> is simply the difference between the original amount in the present and the same amount in the future. In other words, $100 next year is worth less than $100 this year. </w:t>
      </w:r>
      <w:r w:rsidR="0020493C">
        <w:t>Thus,</w:t>
      </w:r>
      <w:r w:rsidRPr="00FC7501">
        <w:t xml:space="preserve"> future money has to be discounted to be comparable to current money.</w:t>
      </w:r>
    </w:p>
    <w:p w:rsidR="001D2EC4" w:rsidRPr="00FC7501" w:rsidRDefault="001D2EC4" w:rsidP="00764461">
      <w:pPr>
        <w:pStyle w:val="ListBullet2"/>
      </w:pPr>
      <w:r w:rsidRPr="00FC7501">
        <w:rPr>
          <w:i/>
        </w:rPr>
        <w:t>Depreciation of equipment</w:t>
      </w:r>
      <w:r w:rsidRPr="00FC7501">
        <w:t xml:space="preserve"> is the reduction in the value of an asset due to usage, passage of time, wear and tear, technological outdating or obsolescence, depletion, inadequacy, or other factors. Among the several methods for calculating depreciation, straight-line depreciation is the simplest and most</w:t>
      </w:r>
      <w:r w:rsidR="0020493C">
        <w:t xml:space="preserve"> </w:t>
      </w:r>
      <w:r w:rsidRPr="00FC7501">
        <w:t>often</w:t>
      </w:r>
      <w:r w:rsidR="0020493C">
        <w:t xml:space="preserve"> </w:t>
      </w:r>
      <w:r w:rsidRPr="00FC7501">
        <w:t>used technique, which can be expressed as</w:t>
      </w:r>
      <w:r w:rsidR="00EB0535">
        <w:t>:</w:t>
      </w:r>
      <w:r w:rsidRPr="00FC7501">
        <w:t xml:space="preserve"> </w:t>
      </w:r>
    </w:p>
    <w:p w:rsidR="001D2EC4" w:rsidRPr="00FC7501" w:rsidRDefault="001D2EC4" w:rsidP="001D2EC4">
      <w:pPr>
        <w:ind w:left="1080"/>
        <w:rPr>
          <w:rFonts w:ascii="Arial" w:hAnsi="Arial" w:cs="Arial"/>
          <w:sz w:val="20"/>
          <w:szCs w:val="20"/>
        </w:rPr>
      </w:pPr>
      <w:r w:rsidRPr="00FC7501">
        <w:rPr>
          <w:rFonts w:ascii="Arial" w:hAnsi="Arial" w:cs="Arial"/>
          <w:sz w:val="20"/>
          <w:szCs w:val="20"/>
        </w:rPr>
        <w:t xml:space="preserve">Annual depreciation = </w:t>
      </w:r>
      <w:r w:rsidR="00A835C2">
        <w:rPr>
          <w:rFonts w:ascii="Arial" w:hAnsi="Arial" w:cs="Arial"/>
          <w:sz w:val="20"/>
          <w:szCs w:val="20"/>
        </w:rPr>
        <w:t>[</w:t>
      </w:r>
      <w:r w:rsidR="00EB0535">
        <w:rPr>
          <w:rFonts w:ascii="Arial" w:hAnsi="Arial" w:cs="Arial"/>
          <w:sz w:val="20"/>
          <w:szCs w:val="20"/>
        </w:rPr>
        <w:t>(</w:t>
      </w:r>
      <w:r w:rsidRPr="00FC7501">
        <w:rPr>
          <w:rFonts w:ascii="Arial" w:hAnsi="Arial" w:cs="Arial"/>
          <w:sz w:val="20"/>
          <w:szCs w:val="20"/>
        </w:rPr>
        <w:t>Original cost</w:t>
      </w:r>
      <w:r w:rsidR="00A835C2">
        <w:rPr>
          <w:rFonts w:ascii="Arial" w:hAnsi="Arial" w:cs="Arial"/>
          <w:sz w:val="20"/>
          <w:szCs w:val="20"/>
        </w:rPr>
        <w:t>) – (</w:t>
      </w:r>
      <w:r w:rsidRPr="00FC7501">
        <w:rPr>
          <w:rFonts w:ascii="Arial" w:hAnsi="Arial" w:cs="Arial"/>
          <w:sz w:val="20"/>
          <w:szCs w:val="20"/>
        </w:rPr>
        <w:t>salvage value</w:t>
      </w:r>
      <w:r w:rsidR="00EB0535">
        <w:rPr>
          <w:rFonts w:ascii="Arial" w:hAnsi="Arial" w:cs="Arial"/>
          <w:sz w:val="20"/>
          <w:szCs w:val="20"/>
        </w:rPr>
        <w:t>)</w:t>
      </w:r>
      <w:r w:rsidR="0089042E">
        <w:rPr>
          <w:rFonts w:ascii="Arial" w:hAnsi="Arial" w:cs="Arial"/>
          <w:sz w:val="20"/>
          <w:szCs w:val="20"/>
        </w:rPr>
        <w:t>]</w:t>
      </w:r>
      <w:r w:rsidR="00975A46">
        <w:rPr>
          <w:rFonts w:ascii="Arial" w:hAnsi="Arial" w:cs="Arial"/>
          <w:sz w:val="20"/>
          <w:szCs w:val="20"/>
        </w:rPr>
        <w:t xml:space="preserve"> </w:t>
      </w:r>
      <w:r w:rsidRPr="00FC7501">
        <w:rPr>
          <w:rFonts w:ascii="Arial" w:hAnsi="Arial" w:cs="Arial"/>
          <w:sz w:val="20"/>
          <w:szCs w:val="20"/>
        </w:rPr>
        <w:t xml:space="preserve">/ Years of </w:t>
      </w:r>
      <w:r w:rsidR="0020493C">
        <w:rPr>
          <w:rFonts w:ascii="Arial" w:hAnsi="Arial" w:cs="Arial"/>
          <w:sz w:val="20"/>
          <w:szCs w:val="20"/>
        </w:rPr>
        <w:t>l</w:t>
      </w:r>
      <w:r w:rsidRPr="00FC7501">
        <w:rPr>
          <w:rFonts w:ascii="Arial" w:hAnsi="Arial" w:cs="Arial"/>
          <w:sz w:val="20"/>
          <w:szCs w:val="20"/>
        </w:rPr>
        <w:t>ife</w:t>
      </w:r>
    </w:p>
    <w:p w:rsidR="001D2EC4" w:rsidRPr="00FC7501" w:rsidRDefault="001D2EC4" w:rsidP="00764461">
      <w:pPr>
        <w:ind w:left="720"/>
      </w:pPr>
      <w:r w:rsidRPr="00FC7501">
        <w:t>Where the salvage value is an estimate of the value of the asset at the time it will be sold or disposed of; it may be zero or even negative.</w:t>
      </w:r>
    </w:p>
    <w:p w:rsidR="005800CD" w:rsidRPr="00FC7501" w:rsidRDefault="00975A46" w:rsidP="00764461">
      <w:pPr>
        <w:pStyle w:val="Heading3"/>
      </w:pPr>
      <w:r>
        <w:t xml:space="preserve">Determining </w:t>
      </w:r>
      <w:r w:rsidR="00075277" w:rsidRPr="00FC7501">
        <w:t>Difference</w:t>
      </w:r>
      <w:r>
        <w:t>s</w:t>
      </w:r>
      <w:r w:rsidR="00075277" w:rsidRPr="00FC7501">
        <w:t xml:space="preserve"> </w:t>
      </w:r>
      <w:proofErr w:type="gramStart"/>
      <w:r w:rsidR="0020493C">
        <w:t>B</w:t>
      </w:r>
      <w:r w:rsidR="00FC7501" w:rsidRPr="00FC7501">
        <w:t>etween</w:t>
      </w:r>
      <w:proofErr w:type="gramEnd"/>
      <w:r w:rsidR="005800CD" w:rsidRPr="00FC7501">
        <w:t xml:space="preserve"> </w:t>
      </w:r>
      <w:r w:rsidR="00075277" w:rsidRPr="00FC7501">
        <w:t>C</w:t>
      </w:r>
      <w:r w:rsidR="005800CD" w:rsidRPr="00FC7501">
        <w:t xml:space="preserve">osts and </w:t>
      </w:r>
      <w:r w:rsidR="00075277" w:rsidRPr="00FC7501">
        <w:t>C</w:t>
      </w:r>
      <w:r w:rsidR="005800CD" w:rsidRPr="00FC7501">
        <w:t xml:space="preserve">harges </w:t>
      </w:r>
    </w:p>
    <w:p w:rsidR="005800CD" w:rsidRPr="00212ACD" w:rsidRDefault="005800CD" w:rsidP="00461FE3">
      <w:r w:rsidRPr="005205FF">
        <w:rPr>
          <w:b/>
          <w:i/>
        </w:rPr>
        <w:t>Costs</w:t>
      </w:r>
      <w:r w:rsidRPr="00FC7501">
        <w:t xml:space="preserve"> represent the amount of resources the hospital needs to use to provide inpatient care services</w:t>
      </w:r>
      <w:r w:rsidR="00C92F49">
        <w:t>,</w:t>
      </w:r>
      <w:r w:rsidRPr="00FC7501">
        <w:t xml:space="preserve"> </w:t>
      </w:r>
      <w:r w:rsidRPr="00212ACD">
        <w:t>while charges are the amount of money the hospital reports on the bill and expects the patient and the insurer to pay. It is increasingly ra</w:t>
      </w:r>
      <w:r w:rsidR="008E3AA7" w:rsidRPr="00212ACD">
        <w:t>r</w:t>
      </w:r>
      <w:r w:rsidRPr="00212ACD">
        <w:t xml:space="preserve">e for the insurer to pay the full charges </w:t>
      </w:r>
      <w:r w:rsidR="0020493C" w:rsidRPr="00212ACD">
        <w:t>since</w:t>
      </w:r>
      <w:r w:rsidRPr="00212ACD">
        <w:t xml:space="preserve"> Medicare, Medicaid</w:t>
      </w:r>
      <w:r w:rsidR="0020493C" w:rsidRPr="00212ACD">
        <w:t>,</w:t>
      </w:r>
      <w:r w:rsidRPr="00212ACD">
        <w:t xml:space="preserve"> and many private insurers </w:t>
      </w:r>
      <w:r w:rsidR="0020493C" w:rsidRPr="00212ACD">
        <w:t>can</w:t>
      </w:r>
      <w:r w:rsidRPr="00212ACD">
        <w:t xml:space="preserve"> obtain discounts </w:t>
      </w:r>
      <w:r w:rsidR="0020493C" w:rsidRPr="00212ACD">
        <w:t>of</w:t>
      </w:r>
      <w:r w:rsidR="00975A46">
        <w:t xml:space="preserve"> 50 percent</w:t>
      </w:r>
      <w:r w:rsidRPr="00212ACD">
        <w:t xml:space="preserve"> or more. </w:t>
      </w:r>
    </w:p>
    <w:p w:rsidR="005800CD" w:rsidRPr="00FC7501" w:rsidRDefault="00CC715E" w:rsidP="00461FE3">
      <w:r w:rsidRPr="00212ACD">
        <w:t>While</w:t>
      </w:r>
      <w:r w:rsidR="005800CD" w:rsidRPr="00212ACD">
        <w:t xml:space="preserve"> charges appear on hospital discharge data</w:t>
      </w:r>
      <w:r w:rsidRPr="00212ACD">
        <w:t xml:space="preserve">, </w:t>
      </w:r>
      <w:r w:rsidR="005800CD" w:rsidRPr="00212ACD">
        <w:t>costs should be calculated for the ROI analysis. The charges can be trans</w:t>
      </w:r>
      <w:r w:rsidR="0020493C" w:rsidRPr="00212ACD">
        <w:t>lated</w:t>
      </w:r>
      <w:r w:rsidR="005800CD" w:rsidRPr="00212ACD">
        <w:t xml:space="preserve"> into costs using the </w:t>
      </w:r>
      <w:r w:rsidR="00FD7BE3" w:rsidRPr="00212ACD">
        <w:t xml:space="preserve">hospital’s </w:t>
      </w:r>
      <w:r w:rsidR="005800CD" w:rsidRPr="00212ACD">
        <w:t xml:space="preserve">cost-to-charge ratio, which is usually available at the hospital financial department. Because hospitals need to know their own costs to assess the performance of departments and the merits of specific programs, they typically report a cost-to-charge </w:t>
      </w:r>
      <w:r w:rsidR="0020493C" w:rsidRPr="00212ACD">
        <w:t xml:space="preserve">ratio </w:t>
      </w:r>
      <w:r w:rsidR="005800CD" w:rsidRPr="00212ACD">
        <w:t xml:space="preserve">for the hospital </w:t>
      </w:r>
      <w:proofErr w:type="gramStart"/>
      <w:r w:rsidR="005800CD" w:rsidRPr="00212ACD">
        <w:t xml:space="preserve">as a </w:t>
      </w:r>
      <w:r w:rsidR="00FC7501" w:rsidRPr="00212ACD">
        <w:t>whole</w:t>
      </w:r>
      <w:r w:rsidR="005800CD" w:rsidRPr="00212ACD">
        <w:t xml:space="preserve"> and cost-to-charge ratios</w:t>
      </w:r>
      <w:proofErr w:type="gramEnd"/>
      <w:r w:rsidR="005800CD" w:rsidRPr="00212ACD">
        <w:t xml:space="preserve"> for individual departments. These ratios can be used to calculate the costs of the quality improvement program</w:t>
      </w:r>
      <w:r w:rsidR="005800CD" w:rsidRPr="00FC7501">
        <w:t>.</w:t>
      </w:r>
    </w:p>
    <w:p w:rsidR="005800CD" w:rsidRPr="00FC7501" w:rsidRDefault="00975A46" w:rsidP="00764461">
      <w:pPr>
        <w:pStyle w:val="Heading3"/>
      </w:pPr>
      <w:r>
        <w:t xml:space="preserve">Using </w:t>
      </w:r>
      <w:r w:rsidR="005800CD" w:rsidRPr="00FC7501">
        <w:t xml:space="preserve">Micro </w:t>
      </w:r>
      <w:r w:rsidR="00075277" w:rsidRPr="00FC7501">
        <w:t xml:space="preserve">Costing </w:t>
      </w:r>
      <w:r w:rsidR="0020493C">
        <w:t>V</w:t>
      </w:r>
      <w:r w:rsidR="00075277" w:rsidRPr="00FC7501">
        <w:t>ersus G</w:t>
      </w:r>
      <w:r w:rsidR="005800CD" w:rsidRPr="00FC7501">
        <w:t xml:space="preserve">ross </w:t>
      </w:r>
      <w:r w:rsidR="00075277" w:rsidRPr="00FC7501">
        <w:t>C</w:t>
      </w:r>
      <w:r w:rsidR="005800CD" w:rsidRPr="00FC7501">
        <w:t>osting</w:t>
      </w:r>
    </w:p>
    <w:p w:rsidR="005800CD" w:rsidRPr="00FC7501" w:rsidRDefault="005800CD" w:rsidP="00461FE3">
      <w:r w:rsidRPr="00FC7501">
        <w:t>Micro and gross costing are the two commonly used meth</w:t>
      </w:r>
      <w:r w:rsidR="00975A46">
        <w:t>ods for estimati</w:t>
      </w:r>
      <w:r w:rsidRPr="00FC7501">
        <w:t>n</w:t>
      </w:r>
      <w:r w:rsidR="00975A46">
        <w:t xml:space="preserve">g </w:t>
      </w:r>
      <w:r w:rsidRPr="00FC7501">
        <w:t xml:space="preserve">health care costs. In </w:t>
      </w:r>
      <w:r w:rsidRPr="00E81BDA">
        <w:rPr>
          <w:b/>
          <w:i/>
        </w:rPr>
        <w:t>micro</w:t>
      </w:r>
      <w:r w:rsidR="00A83CA4" w:rsidRPr="00E81BDA">
        <w:rPr>
          <w:b/>
          <w:i/>
        </w:rPr>
        <w:t xml:space="preserve"> </w:t>
      </w:r>
      <w:r w:rsidRPr="00E81BDA">
        <w:rPr>
          <w:b/>
          <w:i/>
        </w:rPr>
        <w:t>costing</w:t>
      </w:r>
      <w:r w:rsidRPr="00FC7501">
        <w:t xml:space="preserve">, a cost is derived for each element of an intervention: staff time, supplies and medications, and so on. In comparison, </w:t>
      </w:r>
      <w:r w:rsidRPr="00E81BDA">
        <w:rPr>
          <w:b/>
          <w:i/>
        </w:rPr>
        <w:t>gross costing</w:t>
      </w:r>
      <w:r w:rsidRPr="00FC7501">
        <w:t xml:space="preserve"> uses mathematical models to determine the mean cost of a day of inpatient care or an outpatient visit. With gross costing, there is no detail available on the cost of any component of the hospital stay or visit. </w:t>
      </w:r>
    </w:p>
    <w:p w:rsidR="00D6133D" w:rsidRDefault="0020493C" w:rsidP="00D661F6">
      <w:pPr>
        <w:rPr>
          <w:rFonts w:ascii="Arial" w:hAnsi="Arial" w:cs="Arial"/>
          <w:b/>
          <w:bCs/>
          <w:i/>
          <w:iCs/>
          <w:sz w:val="28"/>
          <w:szCs w:val="28"/>
        </w:rPr>
      </w:pPr>
      <w:r>
        <w:t>S</w:t>
      </w:r>
      <w:r w:rsidR="005800CD" w:rsidRPr="00FC7501">
        <w:t xml:space="preserve">ome </w:t>
      </w:r>
      <w:r w:rsidR="00732854" w:rsidRPr="00FC7501">
        <w:t>experts</w:t>
      </w:r>
      <w:r w:rsidR="005800CD" w:rsidRPr="00FC7501">
        <w:t xml:space="preserve"> recommend that when detailed data are available, micro costing be used as the method of choice</w:t>
      </w:r>
      <w:r>
        <w:t>.</w:t>
      </w:r>
      <w:r w:rsidR="005800CD" w:rsidRPr="00FC7501">
        <w:t xml:space="preserve"> </w:t>
      </w:r>
      <w:r>
        <w:t>O</w:t>
      </w:r>
      <w:r w:rsidR="005800CD" w:rsidRPr="00FC7501">
        <w:t xml:space="preserve">ther </w:t>
      </w:r>
      <w:r w:rsidR="00732854" w:rsidRPr="00FC7501">
        <w:t>experts</w:t>
      </w:r>
      <w:r w:rsidR="005800CD" w:rsidRPr="00FC7501">
        <w:t xml:space="preserve"> suggest that the choice between micro and gross costing be carefully considered and driven by the needs of the analysis and the precision of the estimates.</w:t>
      </w:r>
      <w:r w:rsidR="00381E52">
        <w:t xml:space="preserve"> </w:t>
      </w:r>
      <w:r w:rsidR="00D6133D">
        <w:br w:type="page"/>
      </w:r>
    </w:p>
    <w:p w:rsidR="00D6133D" w:rsidRDefault="00D6133D" w:rsidP="00D661F6">
      <w:pPr>
        <w:spacing w:after="0"/>
        <w:sectPr w:rsidR="00D6133D" w:rsidSect="007823D2">
          <w:footerReference w:type="default" r:id="rId17"/>
          <w:footnotePr>
            <w:numFmt w:val="lowerRoman"/>
          </w:footnotePr>
          <w:type w:val="continuous"/>
          <w:pgSz w:w="12240" w:h="15840"/>
          <w:pgMar w:top="1440" w:right="1440" w:bottom="1440" w:left="1440" w:header="720" w:footer="720" w:gutter="0"/>
          <w:cols w:space="720"/>
          <w:titlePg/>
          <w:docGrid w:linePitch="360"/>
        </w:sectPr>
      </w:pPr>
    </w:p>
    <w:p w:rsidR="00D6133D" w:rsidRPr="00CC3DE2" w:rsidRDefault="00D6133D" w:rsidP="00CC3DE2">
      <w:pPr>
        <w:pStyle w:val="Heading2"/>
        <w:spacing w:after="240"/>
        <w:jc w:val="center"/>
        <w:rPr>
          <w:i w:val="0"/>
        </w:rPr>
      </w:pPr>
      <w:proofErr w:type="gramStart"/>
      <w:r w:rsidRPr="00CC3DE2">
        <w:rPr>
          <w:i w:val="0"/>
        </w:rPr>
        <w:lastRenderedPageBreak/>
        <w:t>Worksheet 1.</w:t>
      </w:r>
      <w:proofErr w:type="gramEnd"/>
      <w:r w:rsidR="00381E52" w:rsidRPr="00CC3DE2">
        <w:rPr>
          <w:i w:val="0"/>
        </w:rPr>
        <w:t xml:space="preserve"> </w:t>
      </w:r>
      <w:r w:rsidRPr="00CC3DE2">
        <w:rPr>
          <w:i w:val="0"/>
        </w:rPr>
        <w:t>Calculating Implementation Costs (ROI Denominator)</w:t>
      </w:r>
    </w:p>
    <w:p w:rsidR="00D6133D" w:rsidRPr="00FC7501" w:rsidRDefault="00D6133D" w:rsidP="00D6133D">
      <w:r w:rsidRPr="00FC7501">
        <w:rPr>
          <w:b/>
        </w:rPr>
        <w:t>Instructions for completing Worksheet 1</w:t>
      </w:r>
      <w:r w:rsidR="00381E52">
        <w:t xml:space="preserve"> </w:t>
      </w:r>
      <w:r w:rsidRPr="00FC7501">
        <w:t>(</w:t>
      </w:r>
      <w:r w:rsidRPr="00764461">
        <w:rPr>
          <w:b/>
        </w:rPr>
        <w:t>Note:</w:t>
      </w:r>
      <w:r w:rsidRPr="00FC7501">
        <w:t xml:space="preserve"> </w:t>
      </w:r>
      <w:r>
        <w:t>T</w:t>
      </w:r>
      <w:r w:rsidRPr="00FC7501">
        <w:t>hese are costs for implementation, NOT the subsequent changes in service finances.)</w:t>
      </w:r>
    </w:p>
    <w:p w:rsidR="00D6133D" w:rsidRPr="00FC7501" w:rsidRDefault="00D6133D" w:rsidP="00D6133D">
      <w:pPr>
        <w:pStyle w:val="ListNumber"/>
        <w:numPr>
          <w:ilvl w:val="0"/>
          <w:numId w:val="28"/>
        </w:numPr>
      </w:pPr>
      <w:r w:rsidRPr="00FC7501">
        <w:t>Prepare these costs using the same methods used for program budgeting.</w:t>
      </w:r>
      <w:r w:rsidR="00381E52">
        <w:t xml:space="preserve"> </w:t>
      </w:r>
      <w:r w:rsidRPr="00FC7501">
        <w:t>When the ROI is calculated during planning for a set of improvement actions, it is in fact a budget for that set of actions.</w:t>
      </w:r>
      <w:r w:rsidR="00381E52">
        <w:t xml:space="preserve"> </w:t>
      </w:r>
      <w:r w:rsidRPr="00FC7501">
        <w:t>Use the same line items for calculating actual costs after implementation.</w:t>
      </w:r>
      <w:r w:rsidR="00381E52">
        <w:t xml:space="preserve"> </w:t>
      </w:r>
      <w:r w:rsidRPr="00FC7501">
        <w:t>Some costs might be drawn from your hospital financial statements; others you will need to calculate yourself.</w:t>
      </w:r>
    </w:p>
    <w:p w:rsidR="00D6133D" w:rsidRPr="00FC7501" w:rsidRDefault="00D6133D" w:rsidP="00D6133D">
      <w:pPr>
        <w:pStyle w:val="ListNumber"/>
      </w:pPr>
      <w:r w:rsidRPr="00FC7501">
        <w:t>Enter the estimated costs for each line item (personnel, supplies, etc.) that is relevant to the improvement actions for each implementation stage (planning, training, etc.).</w:t>
      </w:r>
    </w:p>
    <w:p w:rsidR="00D6133D" w:rsidRPr="00FC7501" w:rsidRDefault="00D6133D" w:rsidP="00D6133D">
      <w:pPr>
        <w:pStyle w:val="ListNumber"/>
      </w:pPr>
      <w:r w:rsidRPr="00FC7501">
        <w:t>Sum the costs across rows to obtain a total cost estimate for each line item.</w:t>
      </w:r>
    </w:p>
    <w:p w:rsidR="00D6133D" w:rsidRPr="00FC7501" w:rsidRDefault="00D6133D" w:rsidP="00D6133D">
      <w:pPr>
        <w:pStyle w:val="ListNumber"/>
      </w:pPr>
      <w:r w:rsidRPr="00FC7501">
        <w:t>Sum the costs down the columns to obtain a total cost estimate for each improvement stage.</w:t>
      </w:r>
    </w:p>
    <w:p w:rsidR="00D6133D" w:rsidRPr="009C1656" w:rsidRDefault="00D6133D" w:rsidP="00D6133D">
      <w:pPr>
        <w:pStyle w:val="ListNumber"/>
        <w:rPr>
          <w:sz w:val="22"/>
          <w:szCs w:val="22"/>
        </w:rPr>
      </w:pPr>
      <w:r w:rsidRPr="00FC7501">
        <w:t>Obtain the grand total costs by summing the line item total costs (the highlighted box).</w:t>
      </w:r>
      <w:r w:rsidR="00381E52">
        <w:t xml:space="preserve"> </w:t>
      </w:r>
      <w:r w:rsidRPr="00FC7501">
        <w:rPr>
          <w:i/>
        </w:rPr>
        <w:t>This is the denominator for the ROI calculation</w:t>
      </w:r>
      <w:r w:rsidRPr="001002A1">
        <w:rPr>
          <w: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tblPr>
      <w:tblGrid>
        <w:gridCol w:w="3168"/>
        <w:gridCol w:w="1584"/>
        <w:gridCol w:w="1584"/>
        <w:gridCol w:w="1584"/>
        <w:gridCol w:w="1584"/>
        <w:gridCol w:w="1584"/>
        <w:gridCol w:w="1584"/>
      </w:tblGrid>
      <w:tr w:rsidR="00D6133D" w:rsidTr="006B35D4">
        <w:trPr>
          <w:trHeight w:val="20"/>
          <w:jc w:val="center"/>
        </w:trPr>
        <w:tc>
          <w:tcPr>
            <w:tcW w:w="3168" w:type="dxa"/>
            <w:tcBorders>
              <w:top w:val="single" w:sz="4" w:space="0" w:color="auto"/>
              <w:bottom w:val="nil"/>
            </w:tcBorders>
            <w:vAlign w:val="bottom"/>
          </w:tcPr>
          <w:p w:rsidR="00D6133D" w:rsidRPr="00FC7501" w:rsidRDefault="00D6133D" w:rsidP="006B35D4">
            <w:pPr>
              <w:pStyle w:val="TableHead"/>
            </w:pPr>
          </w:p>
        </w:tc>
        <w:tc>
          <w:tcPr>
            <w:tcW w:w="7920" w:type="dxa"/>
            <w:gridSpan w:val="5"/>
            <w:tcBorders>
              <w:bottom w:val="single" w:sz="4" w:space="0" w:color="auto"/>
            </w:tcBorders>
            <w:vAlign w:val="bottom"/>
          </w:tcPr>
          <w:p w:rsidR="00D6133D" w:rsidRPr="00FC7501" w:rsidRDefault="00D6133D" w:rsidP="006B35D4">
            <w:pPr>
              <w:pStyle w:val="TableHead"/>
            </w:pPr>
            <w:r w:rsidRPr="00FC7501">
              <w:t>Implementation Costs by Stage of Improvement Action Implementation</w:t>
            </w:r>
          </w:p>
        </w:tc>
        <w:tc>
          <w:tcPr>
            <w:tcW w:w="1584" w:type="dxa"/>
            <w:tcBorders>
              <w:bottom w:val="nil"/>
            </w:tcBorders>
            <w:vAlign w:val="bottom"/>
          </w:tcPr>
          <w:p w:rsidR="00D6133D" w:rsidRPr="00FC7501" w:rsidRDefault="00D6133D" w:rsidP="006B35D4">
            <w:pPr>
              <w:pStyle w:val="TableHead"/>
            </w:pPr>
          </w:p>
        </w:tc>
      </w:tr>
      <w:tr w:rsidR="00D6133D" w:rsidTr="006B35D4">
        <w:trPr>
          <w:trHeight w:val="20"/>
          <w:jc w:val="center"/>
        </w:trPr>
        <w:tc>
          <w:tcPr>
            <w:tcW w:w="3168" w:type="dxa"/>
            <w:tcBorders>
              <w:top w:val="nil"/>
              <w:bottom w:val="double" w:sz="4" w:space="0" w:color="auto"/>
            </w:tcBorders>
            <w:vAlign w:val="bottom"/>
          </w:tcPr>
          <w:p w:rsidR="00D6133D" w:rsidRPr="00FC7501" w:rsidRDefault="00D6133D" w:rsidP="006B35D4">
            <w:pPr>
              <w:pStyle w:val="TableHead"/>
            </w:pPr>
            <w:r w:rsidRPr="00FC7501">
              <w:t>Category of Implementation Costs</w:t>
            </w:r>
          </w:p>
        </w:tc>
        <w:tc>
          <w:tcPr>
            <w:tcW w:w="1584" w:type="dxa"/>
            <w:tcBorders>
              <w:top w:val="single" w:sz="4" w:space="0" w:color="auto"/>
              <w:bottom w:val="double" w:sz="4" w:space="0" w:color="auto"/>
            </w:tcBorders>
            <w:vAlign w:val="bottom"/>
          </w:tcPr>
          <w:p w:rsidR="00D6133D" w:rsidRPr="00FC7501" w:rsidRDefault="00D6133D" w:rsidP="006B35D4">
            <w:pPr>
              <w:pStyle w:val="TableHead"/>
            </w:pPr>
            <w:r w:rsidRPr="00FC7501">
              <w:t>Planning and Development</w:t>
            </w:r>
          </w:p>
        </w:tc>
        <w:tc>
          <w:tcPr>
            <w:tcW w:w="1584" w:type="dxa"/>
            <w:tcBorders>
              <w:top w:val="single" w:sz="4" w:space="0" w:color="auto"/>
              <w:bottom w:val="double" w:sz="4" w:space="0" w:color="auto"/>
            </w:tcBorders>
            <w:vAlign w:val="bottom"/>
          </w:tcPr>
          <w:p w:rsidR="00D6133D" w:rsidRPr="00FC7501" w:rsidRDefault="00D6133D" w:rsidP="006B35D4">
            <w:pPr>
              <w:pStyle w:val="TableHead"/>
            </w:pPr>
            <w:r w:rsidRPr="00FC7501">
              <w:t>Training</w:t>
            </w:r>
          </w:p>
        </w:tc>
        <w:tc>
          <w:tcPr>
            <w:tcW w:w="1584" w:type="dxa"/>
            <w:tcBorders>
              <w:top w:val="single" w:sz="4" w:space="0" w:color="auto"/>
              <w:bottom w:val="double" w:sz="4" w:space="0" w:color="auto"/>
            </w:tcBorders>
            <w:vAlign w:val="bottom"/>
          </w:tcPr>
          <w:p w:rsidR="00D6133D" w:rsidRPr="00FC7501" w:rsidRDefault="00D6133D" w:rsidP="006B35D4">
            <w:pPr>
              <w:pStyle w:val="TableHead"/>
            </w:pPr>
            <w:r w:rsidRPr="00FC7501">
              <w:t>Startup</w:t>
            </w:r>
          </w:p>
        </w:tc>
        <w:tc>
          <w:tcPr>
            <w:tcW w:w="1584" w:type="dxa"/>
            <w:tcBorders>
              <w:top w:val="single" w:sz="4" w:space="0" w:color="auto"/>
              <w:bottom w:val="double" w:sz="4" w:space="0" w:color="auto"/>
            </w:tcBorders>
            <w:vAlign w:val="bottom"/>
          </w:tcPr>
          <w:p w:rsidR="00D6133D" w:rsidRPr="00FC7501" w:rsidRDefault="00D6133D" w:rsidP="006B35D4">
            <w:pPr>
              <w:pStyle w:val="TableHead"/>
            </w:pPr>
            <w:r w:rsidRPr="00FC7501">
              <w:t>Ongoing Operation and Maintenance</w:t>
            </w:r>
          </w:p>
        </w:tc>
        <w:tc>
          <w:tcPr>
            <w:tcW w:w="1584" w:type="dxa"/>
            <w:tcBorders>
              <w:top w:val="single" w:sz="4" w:space="0" w:color="auto"/>
              <w:bottom w:val="double" w:sz="4" w:space="0" w:color="auto"/>
            </w:tcBorders>
            <w:vAlign w:val="bottom"/>
          </w:tcPr>
          <w:p w:rsidR="00D6133D" w:rsidRPr="00FC7501" w:rsidRDefault="00D6133D" w:rsidP="006B35D4">
            <w:pPr>
              <w:pStyle w:val="TableHead"/>
            </w:pPr>
            <w:r w:rsidRPr="00FC7501">
              <w:t>Shutdown</w:t>
            </w:r>
          </w:p>
        </w:tc>
        <w:tc>
          <w:tcPr>
            <w:tcW w:w="1584" w:type="dxa"/>
            <w:tcBorders>
              <w:top w:val="nil"/>
              <w:bottom w:val="double" w:sz="4" w:space="0" w:color="auto"/>
            </w:tcBorders>
            <w:vAlign w:val="bottom"/>
          </w:tcPr>
          <w:p w:rsidR="00D6133D" w:rsidRPr="00FC7501" w:rsidRDefault="00D6133D" w:rsidP="006B35D4">
            <w:pPr>
              <w:pStyle w:val="TableHead"/>
            </w:pPr>
            <w:r w:rsidRPr="00FC7501">
              <w:t>Total Costs</w:t>
            </w:r>
          </w:p>
        </w:tc>
      </w:tr>
      <w:tr w:rsidR="00D6133D" w:rsidTr="006B35D4">
        <w:trPr>
          <w:cantSplit/>
          <w:trHeight w:val="20"/>
          <w:jc w:val="center"/>
        </w:trPr>
        <w:tc>
          <w:tcPr>
            <w:tcW w:w="3168" w:type="dxa"/>
            <w:tcBorders>
              <w:top w:val="double" w:sz="4" w:space="0" w:color="auto"/>
            </w:tcBorders>
          </w:tcPr>
          <w:p w:rsidR="00D6133D" w:rsidRPr="006A05C8" w:rsidRDefault="00D6133D" w:rsidP="006B35D4">
            <w:pPr>
              <w:pStyle w:val="TableText"/>
            </w:pPr>
            <w:r w:rsidRPr="006A05C8">
              <w:t>Personnel</w:t>
            </w:r>
          </w:p>
        </w:tc>
        <w:tc>
          <w:tcPr>
            <w:tcW w:w="1584" w:type="dxa"/>
            <w:tcBorders>
              <w:top w:val="double" w:sz="4" w:space="0" w:color="auto"/>
            </w:tcBorders>
          </w:tcPr>
          <w:p w:rsidR="00D6133D" w:rsidRPr="00FC7501" w:rsidRDefault="00D6133D" w:rsidP="006B35D4">
            <w:pPr>
              <w:pStyle w:val="TableText"/>
            </w:pPr>
          </w:p>
        </w:tc>
        <w:tc>
          <w:tcPr>
            <w:tcW w:w="1584" w:type="dxa"/>
            <w:tcBorders>
              <w:top w:val="double" w:sz="4" w:space="0" w:color="auto"/>
            </w:tcBorders>
          </w:tcPr>
          <w:p w:rsidR="00D6133D" w:rsidRPr="00FC7501" w:rsidRDefault="00D6133D" w:rsidP="006B35D4">
            <w:pPr>
              <w:pStyle w:val="TableText"/>
            </w:pPr>
          </w:p>
        </w:tc>
        <w:tc>
          <w:tcPr>
            <w:tcW w:w="1584" w:type="dxa"/>
            <w:tcBorders>
              <w:top w:val="double" w:sz="4" w:space="0" w:color="auto"/>
            </w:tcBorders>
          </w:tcPr>
          <w:p w:rsidR="00D6133D" w:rsidRPr="00FC7501" w:rsidRDefault="00D6133D" w:rsidP="006B35D4">
            <w:pPr>
              <w:pStyle w:val="TableText"/>
            </w:pPr>
          </w:p>
        </w:tc>
        <w:tc>
          <w:tcPr>
            <w:tcW w:w="1584" w:type="dxa"/>
            <w:tcBorders>
              <w:top w:val="double" w:sz="4" w:space="0" w:color="auto"/>
            </w:tcBorders>
          </w:tcPr>
          <w:p w:rsidR="00D6133D" w:rsidRPr="00FC7501" w:rsidRDefault="00D6133D" w:rsidP="006B35D4">
            <w:pPr>
              <w:pStyle w:val="TableText"/>
            </w:pPr>
          </w:p>
        </w:tc>
        <w:tc>
          <w:tcPr>
            <w:tcW w:w="1584" w:type="dxa"/>
            <w:tcBorders>
              <w:top w:val="double" w:sz="4" w:space="0" w:color="auto"/>
            </w:tcBorders>
          </w:tcPr>
          <w:p w:rsidR="00D6133D" w:rsidRPr="00FC7501" w:rsidRDefault="00D6133D" w:rsidP="006B35D4">
            <w:pPr>
              <w:pStyle w:val="TableText"/>
            </w:pPr>
          </w:p>
        </w:tc>
        <w:tc>
          <w:tcPr>
            <w:tcW w:w="1584" w:type="dxa"/>
            <w:tcBorders>
              <w:top w:val="double" w:sz="4" w:space="0" w:color="auto"/>
            </w:tcBorders>
          </w:tcPr>
          <w:p w:rsidR="00D6133D" w:rsidRPr="00FC7501" w:rsidRDefault="00D6133D" w:rsidP="006B35D4">
            <w:pPr>
              <w:pStyle w:val="TableText"/>
            </w:pPr>
          </w:p>
        </w:tc>
      </w:tr>
      <w:tr w:rsidR="00D6133D" w:rsidTr="006B35D4">
        <w:trPr>
          <w:cantSplit/>
          <w:trHeight w:val="20"/>
          <w:jc w:val="center"/>
        </w:trPr>
        <w:tc>
          <w:tcPr>
            <w:tcW w:w="3168" w:type="dxa"/>
          </w:tcPr>
          <w:p w:rsidR="00D6133D" w:rsidRPr="00764461" w:rsidRDefault="00D6133D" w:rsidP="006B35D4">
            <w:pPr>
              <w:pStyle w:val="TableText"/>
            </w:pPr>
            <w:r w:rsidRPr="00764461">
              <w:t>Supplies</w:t>
            </w: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r>
      <w:tr w:rsidR="00D6133D" w:rsidTr="006B35D4">
        <w:trPr>
          <w:cantSplit/>
          <w:trHeight w:val="20"/>
          <w:jc w:val="center"/>
        </w:trPr>
        <w:tc>
          <w:tcPr>
            <w:tcW w:w="3168" w:type="dxa"/>
          </w:tcPr>
          <w:p w:rsidR="00D6133D" w:rsidRPr="00764461" w:rsidRDefault="00D6133D" w:rsidP="006B35D4">
            <w:pPr>
              <w:pStyle w:val="TableText"/>
            </w:pPr>
            <w:r w:rsidRPr="00764461">
              <w:t>Equipment and depreciation</w:t>
            </w: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r>
      <w:tr w:rsidR="00D6133D" w:rsidTr="006B35D4">
        <w:trPr>
          <w:cantSplit/>
          <w:trHeight w:val="20"/>
          <w:jc w:val="center"/>
        </w:trPr>
        <w:tc>
          <w:tcPr>
            <w:tcW w:w="3168" w:type="dxa"/>
          </w:tcPr>
          <w:p w:rsidR="00D6133D" w:rsidRPr="00764461" w:rsidRDefault="00D6133D" w:rsidP="006B35D4">
            <w:pPr>
              <w:pStyle w:val="TableText"/>
            </w:pPr>
            <w:r w:rsidRPr="00764461">
              <w:t>Training</w:t>
            </w: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r>
      <w:tr w:rsidR="00D6133D" w:rsidTr="006B35D4">
        <w:trPr>
          <w:cantSplit/>
          <w:trHeight w:val="20"/>
          <w:jc w:val="center"/>
        </w:trPr>
        <w:tc>
          <w:tcPr>
            <w:tcW w:w="3168" w:type="dxa"/>
          </w:tcPr>
          <w:p w:rsidR="00D6133D" w:rsidRPr="00764461" w:rsidRDefault="00D6133D" w:rsidP="006B35D4">
            <w:pPr>
              <w:pStyle w:val="TableText"/>
            </w:pPr>
            <w:r w:rsidRPr="00764461">
              <w:t>Information systems</w:t>
            </w: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r>
      <w:tr w:rsidR="00D6133D" w:rsidTr="006B35D4">
        <w:trPr>
          <w:cantSplit/>
          <w:trHeight w:val="20"/>
          <w:jc w:val="center"/>
        </w:trPr>
        <w:tc>
          <w:tcPr>
            <w:tcW w:w="3168" w:type="dxa"/>
          </w:tcPr>
          <w:p w:rsidR="00D6133D" w:rsidRPr="00764461" w:rsidRDefault="00D6133D" w:rsidP="006B35D4">
            <w:pPr>
              <w:pStyle w:val="TableText"/>
            </w:pPr>
            <w:r w:rsidRPr="00764461">
              <w:t>Outreach and communication</w:t>
            </w: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r>
      <w:tr w:rsidR="00D6133D" w:rsidTr="006B35D4">
        <w:trPr>
          <w:cantSplit/>
          <w:trHeight w:val="20"/>
          <w:jc w:val="center"/>
        </w:trPr>
        <w:tc>
          <w:tcPr>
            <w:tcW w:w="3168" w:type="dxa"/>
          </w:tcPr>
          <w:p w:rsidR="00D6133D" w:rsidRPr="00764461" w:rsidRDefault="00D6133D" w:rsidP="006B35D4">
            <w:pPr>
              <w:pStyle w:val="TableText"/>
            </w:pPr>
            <w:r w:rsidRPr="00764461">
              <w:t>External consultant costs</w:t>
            </w: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Borders>
              <w:bottom w:val="single" w:sz="4" w:space="0" w:color="auto"/>
            </w:tcBorders>
          </w:tcPr>
          <w:p w:rsidR="00D6133D" w:rsidRPr="00FC7501" w:rsidRDefault="00D6133D" w:rsidP="006B35D4">
            <w:pPr>
              <w:pStyle w:val="TableText"/>
            </w:pPr>
          </w:p>
        </w:tc>
      </w:tr>
      <w:tr w:rsidR="005205FF" w:rsidTr="006B35D4">
        <w:trPr>
          <w:cantSplit/>
          <w:trHeight w:val="20"/>
          <w:jc w:val="center"/>
        </w:trPr>
        <w:tc>
          <w:tcPr>
            <w:tcW w:w="3168" w:type="dxa"/>
          </w:tcPr>
          <w:p w:rsidR="00D6133D" w:rsidRPr="00764461" w:rsidRDefault="00D6133D" w:rsidP="006B35D4">
            <w:pPr>
              <w:pStyle w:val="TableText"/>
              <w:rPr>
                <w:b/>
              </w:rPr>
            </w:pPr>
            <w:r w:rsidRPr="00764461">
              <w:rPr>
                <w:b/>
              </w:rPr>
              <w:t>Total Costs</w:t>
            </w: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1584" w:type="dxa"/>
            <w:shd w:val="clear" w:color="auto" w:fill="FFFFFF" w:themeFill="background1"/>
          </w:tcPr>
          <w:p w:rsidR="00D6133D" w:rsidRPr="00AB40C7" w:rsidRDefault="00D6133D" w:rsidP="006B35D4">
            <w:pPr>
              <w:pStyle w:val="TableText"/>
              <w:rPr>
                <w:b/>
              </w:rPr>
            </w:pPr>
            <w:r w:rsidRPr="00975A46">
              <w:rPr>
                <w:b/>
                <w:highlight w:val="yellow"/>
              </w:rPr>
              <w:t>GRAND</w:t>
            </w:r>
            <w:r w:rsidR="00381E52" w:rsidRPr="00975A46">
              <w:rPr>
                <w:b/>
                <w:highlight w:val="yellow"/>
              </w:rPr>
              <w:t xml:space="preserve"> </w:t>
            </w:r>
            <w:r w:rsidRPr="00975A46">
              <w:rPr>
                <w:b/>
                <w:highlight w:val="yellow"/>
              </w:rPr>
              <w:t>TOTAL</w:t>
            </w:r>
          </w:p>
          <w:p w:rsidR="00D6133D" w:rsidRPr="00AB40C7" w:rsidRDefault="00D6133D" w:rsidP="006B35D4">
            <w:pPr>
              <w:pStyle w:val="TableText"/>
            </w:pPr>
          </w:p>
        </w:tc>
      </w:tr>
    </w:tbl>
    <w:p w:rsidR="00D6133D" w:rsidRDefault="00D6133D" w:rsidP="00D6133D">
      <w:pPr>
        <w:spacing w:after="0"/>
      </w:pPr>
      <w:r>
        <w:br w:type="page"/>
      </w:r>
    </w:p>
    <w:p w:rsidR="00D6133D" w:rsidRPr="00CC3DE2" w:rsidRDefault="00D6133D" w:rsidP="00CC3DE2">
      <w:pPr>
        <w:pStyle w:val="Heading2"/>
        <w:spacing w:after="240"/>
        <w:jc w:val="center"/>
        <w:rPr>
          <w:i w:val="0"/>
        </w:rPr>
      </w:pPr>
      <w:proofErr w:type="gramStart"/>
      <w:r w:rsidRPr="00CC3DE2">
        <w:rPr>
          <w:i w:val="0"/>
        </w:rPr>
        <w:lastRenderedPageBreak/>
        <w:t>Worksheet 2.</w:t>
      </w:r>
      <w:proofErr w:type="gramEnd"/>
      <w:r w:rsidR="00381E52" w:rsidRPr="00CC3DE2">
        <w:rPr>
          <w:i w:val="0"/>
        </w:rPr>
        <w:t xml:space="preserve"> </w:t>
      </w:r>
      <w:r w:rsidRPr="00CC3DE2">
        <w:rPr>
          <w:i w:val="0"/>
        </w:rPr>
        <w:t>Calculating Net Returns (ROI Numerator)</w:t>
      </w:r>
    </w:p>
    <w:p w:rsidR="00D6133D" w:rsidRPr="00FC7501" w:rsidRDefault="00D6133D" w:rsidP="00D6133D">
      <w:r w:rsidRPr="00FC7501">
        <w:rPr>
          <w:b/>
        </w:rPr>
        <w:t>Instructions for completing this worksheet:</w:t>
      </w:r>
      <w:r w:rsidR="00381E52">
        <w:rPr>
          <w:b/>
        </w:rPr>
        <w:t xml:space="preserve"> </w:t>
      </w:r>
      <w:r w:rsidRPr="00FC7501">
        <w:t>(</w:t>
      </w:r>
      <w:r w:rsidRPr="00764461">
        <w:rPr>
          <w:b/>
        </w:rPr>
        <w:t>Note:</w:t>
      </w:r>
      <w:r w:rsidRPr="00FC7501">
        <w:t xml:space="preserve"> </w:t>
      </w:r>
      <w:r>
        <w:t>T</w:t>
      </w:r>
      <w:r w:rsidRPr="00FC7501">
        <w:t>hese are changes in service revenues and operating costs resulting from implementing the improvement actions.)</w:t>
      </w:r>
    </w:p>
    <w:p w:rsidR="00D6133D" w:rsidRPr="00FC7501" w:rsidRDefault="00D6133D" w:rsidP="00D6133D">
      <w:pPr>
        <w:pStyle w:val="ListNumber"/>
        <w:numPr>
          <w:ilvl w:val="0"/>
          <w:numId w:val="29"/>
        </w:numPr>
      </w:pPr>
      <w:r w:rsidRPr="00FC7501">
        <w:t>Identify items for which the improvement actions will have financial effects and list them in first column.</w:t>
      </w:r>
      <w:r w:rsidR="00381E52">
        <w:t xml:space="preserve"> </w:t>
      </w:r>
      <w:r w:rsidRPr="00FC7501">
        <w:t>The top set lists effects on revenues; the bottom set lists effects on costs.</w:t>
      </w:r>
      <w:r w:rsidR="00381E52">
        <w:t xml:space="preserve"> </w:t>
      </w:r>
      <w:r w:rsidRPr="00FC7501">
        <w:t>The ones listed here are examples</w:t>
      </w:r>
      <w:r>
        <w:t>;</w:t>
      </w:r>
      <w:r w:rsidRPr="00FC7501">
        <w:t xml:space="preserve"> you may use different sets of items. </w:t>
      </w:r>
    </w:p>
    <w:p w:rsidR="00D6133D" w:rsidRPr="00FC7501" w:rsidRDefault="00D6133D" w:rsidP="00D6133D">
      <w:pPr>
        <w:pStyle w:val="ListNumber"/>
      </w:pPr>
      <w:r w:rsidRPr="00FC7501">
        <w:t>Estimate the costs for each item for the comparison group (e.g., before) and following implementation.</w:t>
      </w:r>
      <w:r w:rsidR="00381E52">
        <w:t xml:space="preserve"> </w:t>
      </w:r>
      <w:r w:rsidRPr="00FC7501">
        <w:t xml:space="preserve">If the comparison periods involve more than </w:t>
      </w:r>
      <w:r w:rsidR="00975A46">
        <w:t>1</w:t>
      </w:r>
      <w:r w:rsidRPr="00FC7501">
        <w:t xml:space="preserve"> year, you may need to adjust some of the costs for inflation or discount future costs to reflect time preference for money. </w:t>
      </w:r>
    </w:p>
    <w:p w:rsidR="00D6133D" w:rsidRPr="00FC7501" w:rsidRDefault="00D6133D" w:rsidP="00D6133D">
      <w:pPr>
        <w:pStyle w:val="ListNumber"/>
      </w:pPr>
      <w:r w:rsidRPr="00FC7501">
        <w:t>Calculate net change in revenues = B minus A (increase in revenue).</w:t>
      </w:r>
      <w:r w:rsidR="00381E52">
        <w:t xml:space="preserve"> </w:t>
      </w:r>
      <w:r w:rsidRPr="00FC7501">
        <w:t>Calculate net change in costs = A minus B (decrease in cost)</w:t>
      </w:r>
      <w:r>
        <w:t>.</w:t>
      </w:r>
    </w:p>
    <w:p w:rsidR="00D6133D" w:rsidRPr="00FC7501" w:rsidRDefault="00D6133D" w:rsidP="00D6133D">
      <w:pPr>
        <w:pStyle w:val="ListNumber"/>
      </w:pPr>
      <w:r w:rsidRPr="00FC7501">
        <w:t>Sum the line</w:t>
      </w:r>
      <w:r>
        <w:t xml:space="preserve"> </w:t>
      </w:r>
      <w:r w:rsidRPr="00FC7501">
        <w:t>item net changes to obtain the total net change (highlighted box).</w:t>
      </w:r>
      <w:r w:rsidR="00381E52">
        <w:t xml:space="preserve"> </w:t>
      </w:r>
      <w:r w:rsidRPr="00FC7501">
        <w:rPr>
          <w:i/>
        </w:rPr>
        <w:t>This is the numerator for the ROI calculation.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tblPr>
      <w:tblGrid>
        <w:gridCol w:w="3888"/>
        <w:gridCol w:w="1440"/>
        <w:gridCol w:w="1728"/>
        <w:gridCol w:w="1584"/>
        <w:gridCol w:w="3600"/>
      </w:tblGrid>
      <w:tr w:rsidR="00D6133D" w:rsidRPr="00FC7501" w:rsidTr="00975A46">
        <w:trPr>
          <w:jc w:val="center"/>
        </w:trPr>
        <w:tc>
          <w:tcPr>
            <w:tcW w:w="3888" w:type="dxa"/>
            <w:vAlign w:val="bottom"/>
          </w:tcPr>
          <w:p w:rsidR="00D6133D" w:rsidRPr="00FC7501" w:rsidRDefault="00D6133D" w:rsidP="006B35D4">
            <w:pPr>
              <w:pStyle w:val="TableHead"/>
            </w:pPr>
          </w:p>
        </w:tc>
        <w:tc>
          <w:tcPr>
            <w:tcW w:w="4752" w:type="dxa"/>
            <w:gridSpan w:val="3"/>
            <w:vAlign w:val="bottom"/>
          </w:tcPr>
          <w:p w:rsidR="00D6133D" w:rsidRPr="00FC7501" w:rsidRDefault="00D6133D" w:rsidP="006B35D4">
            <w:pPr>
              <w:pStyle w:val="TableHead"/>
            </w:pPr>
            <w:r w:rsidRPr="00FC7501">
              <w:t>(Real) Financial Effects of Improvement Actions</w:t>
            </w:r>
          </w:p>
        </w:tc>
        <w:tc>
          <w:tcPr>
            <w:tcW w:w="3600" w:type="dxa"/>
            <w:vAlign w:val="bottom"/>
          </w:tcPr>
          <w:p w:rsidR="00D6133D" w:rsidRPr="00FC7501" w:rsidRDefault="00D6133D" w:rsidP="006B35D4">
            <w:pPr>
              <w:pStyle w:val="TableHead"/>
            </w:pPr>
            <w:r w:rsidRPr="00FC7501">
              <w:t>NOTES</w:t>
            </w:r>
          </w:p>
        </w:tc>
      </w:tr>
      <w:tr w:rsidR="00D6133D" w:rsidRPr="00FC7501" w:rsidTr="00975A46">
        <w:trPr>
          <w:jc w:val="center"/>
        </w:trPr>
        <w:tc>
          <w:tcPr>
            <w:tcW w:w="3888" w:type="dxa"/>
            <w:vAlign w:val="bottom"/>
          </w:tcPr>
          <w:p w:rsidR="00D6133D" w:rsidRPr="00FC7501" w:rsidRDefault="00D6133D" w:rsidP="006B35D4">
            <w:pPr>
              <w:pStyle w:val="TableHead"/>
            </w:pPr>
            <w:r w:rsidRPr="00FC7501">
              <w:t>Effects Identified</w:t>
            </w:r>
          </w:p>
        </w:tc>
        <w:tc>
          <w:tcPr>
            <w:tcW w:w="1440" w:type="dxa"/>
            <w:vAlign w:val="bottom"/>
          </w:tcPr>
          <w:p w:rsidR="00D6133D" w:rsidRPr="00FC7501" w:rsidRDefault="00D6133D" w:rsidP="006B35D4">
            <w:pPr>
              <w:pStyle w:val="TableHead"/>
            </w:pPr>
            <w:r w:rsidRPr="00FC7501">
              <w:t>A Comparison Period</w:t>
            </w:r>
          </w:p>
        </w:tc>
        <w:tc>
          <w:tcPr>
            <w:tcW w:w="1728" w:type="dxa"/>
            <w:vAlign w:val="bottom"/>
          </w:tcPr>
          <w:p w:rsidR="00D6133D" w:rsidRPr="00FC7501" w:rsidRDefault="00D6133D" w:rsidP="006B35D4">
            <w:pPr>
              <w:pStyle w:val="TableHead"/>
            </w:pPr>
            <w:r w:rsidRPr="00FC7501">
              <w:t>B Implementation Period</w:t>
            </w:r>
          </w:p>
        </w:tc>
        <w:tc>
          <w:tcPr>
            <w:tcW w:w="1584" w:type="dxa"/>
            <w:vAlign w:val="bottom"/>
          </w:tcPr>
          <w:p w:rsidR="00D6133D" w:rsidRPr="00FC7501" w:rsidRDefault="00D6133D" w:rsidP="006B35D4">
            <w:pPr>
              <w:pStyle w:val="TableHead"/>
            </w:pPr>
            <w:r w:rsidRPr="00FC7501">
              <w:t>Net Change</w:t>
            </w:r>
          </w:p>
        </w:tc>
        <w:tc>
          <w:tcPr>
            <w:tcW w:w="3600" w:type="dxa"/>
            <w:vAlign w:val="bottom"/>
          </w:tcPr>
          <w:p w:rsidR="00D6133D" w:rsidRPr="00FC7501" w:rsidRDefault="00D6133D" w:rsidP="006B35D4">
            <w:pPr>
              <w:pStyle w:val="TableHead"/>
            </w:pPr>
            <w:r w:rsidRPr="00FC7501">
              <w:t>(Description of Effects Involved</w:t>
            </w:r>
            <w:r>
              <w:t xml:space="preserve"> </w:t>
            </w:r>
            <w:r w:rsidRPr="00FC7501">
              <w:t>in Revenue or Cost Changes)</w:t>
            </w:r>
          </w:p>
        </w:tc>
      </w:tr>
      <w:tr w:rsidR="00D6133D" w:rsidRPr="00FC7501" w:rsidTr="00975A46">
        <w:trPr>
          <w:jc w:val="center"/>
        </w:trPr>
        <w:tc>
          <w:tcPr>
            <w:tcW w:w="3888" w:type="dxa"/>
          </w:tcPr>
          <w:p w:rsidR="00D6133D" w:rsidRPr="00975A46" w:rsidRDefault="00D6133D" w:rsidP="006B35D4">
            <w:pPr>
              <w:pStyle w:val="TableText"/>
              <w:rPr>
                <w:b/>
              </w:rPr>
            </w:pPr>
            <w:r w:rsidRPr="00975A46">
              <w:rPr>
                <w:b/>
              </w:rPr>
              <w:t>Changes in Revenues:</w:t>
            </w:r>
            <w:r w:rsidR="00381E52" w:rsidRPr="00975A46">
              <w:rPr>
                <w:b/>
              </w:rPr>
              <w:t xml:space="preserve"> </w:t>
            </w:r>
          </w:p>
        </w:tc>
        <w:tc>
          <w:tcPr>
            <w:tcW w:w="1440" w:type="dxa"/>
          </w:tcPr>
          <w:p w:rsidR="00D6133D" w:rsidRPr="00FC7501" w:rsidRDefault="00D6133D" w:rsidP="006B35D4">
            <w:pPr>
              <w:pStyle w:val="TableText"/>
            </w:pPr>
          </w:p>
        </w:tc>
        <w:tc>
          <w:tcPr>
            <w:tcW w:w="1728" w:type="dxa"/>
          </w:tcPr>
          <w:p w:rsidR="00D6133D" w:rsidRPr="00FC7501" w:rsidRDefault="00D6133D" w:rsidP="006B35D4">
            <w:pPr>
              <w:pStyle w:val="TableText"/>
            </w:pPr>
          </w:p>
        </w:tc>
        <w:tc>
          <w:tcPr>
            <w:tcW w:w="1584" w:type="dxa"/>
          </w:tcPr>
          <w:p w:rsidR="00D6133D" w:rsidRPr="00764461" w:rsidRDefault="00D6133D" w:rsidP="006B35D4">
            <w:pPr>
              <w:pStyle w:val="TableText"/>
              <w:rPr>
                <w:b/>
              </w:rPr>
            </w:pPr>
            <w:r w:rsidRPr="00764461">
              <w:rPr>
                <w:b/>
              </w:rPr>
              <w:t>(B minus A)</w:t>
            </w:r>
          </w:p>
        </w:tc>
        <w:tc>
          <w:tcPr>
            <w:tcW w:w="3600" w:type="dxa"/>
          </w:tcPr>
          <w:p w:rsidR="00D6133D" w:rsidRPr="00FC7501" w:rsidRDefault="00D6133D" w:rsidP="006B35D4">
            <w:pPr>
              <w:pStyle w:val="TableText"/>
            </w:pPr>
          </w:p>
        </w:tc>
      </w:tr>
      <w:tr w:rsidR="00D6133D" w:rsidRPr="00FC7501" w:rsidTr="00975A46">
        <w:trPr>
          <w:jc w:val="center"/>
        </w:trPr>
        <w:tc>
          <w:tcPr>
            <w:tcW w:w="3888" w:type="dxa"/>
          </w:tcPr>
          <w:p w:rsidR="00D6133D" w:rsidRPr="00FC7501" w:rsidRDefault="00D6133D" w:rsidP="006B35D4">
            <w:pPr>
              <w:pStyle w:val="TableText"/>
            </w:pPr>
            <w:r w:rsidRPr="00FC7501">
              <w:t>Admissions, readmissions, length of stay</w:t>
            </w:r>
          </w:p>
        </w:tc>
        <w:tc>
          <w:tcPr>
            <w:tcW w:w="1440" w:type="dxa"/>
          </w:tcPr>
          <w:p w:rsidR="00D6133D" w:rsidRPr="00FC7501" w:rsidRDefault="00D6133D" w:rsidP="006B35D4">
            <w:pPr>
              <w:pStyle w:val="TableText"/>
            </w:pPr>
          </w:p>
        </w:tc>
        <w:tc>
          <w:tcPr>
            <w:tcW w:w="1728"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3600" w:type="dxa"/>
          </w:tcPr>
          <w:p w:rsidR="00D6133D" w:rsidRPr="00FC7501" w:rsidRDefault="00D6133D" w:rsidP="006B35D4">
            <w:pPr>
              <w:pStyle w:val="TableText"/>
            </w:pPr>
          </w:p>
        </w:tc>
      </w:tr>
      <w:tr w:rsidR="00D6133D" w:rsidRPr="00FC7501" w:rsidTr="00975A46">
        <w:trPr>
          <w:jc w:val="center"/>
        </w:trPr>
        <w:tc>
          <w:tcPr>
            <w:tcW w:w="3888" w:type="dxa"/>
          </w:tcPr>
          <w:p w:rsidR="00D6133D" w:rsidRPr="00FC7501" w:rsidRDefault="00D6133D" w:rsidP="006B35D4">
            <w:pPr>
              <w:pStyle w:val="TableText"/>
            </w:pPr>
            <w:r w:rsidRPr="00FC7501">
              <w:t>Payments from insurers</w:t>
            </w:r>
          </w:p>
        </w:tc>
        <w:tc>
          <w:tcPr>
            <w:tcW w:w="1440" w:type="dxa"/>
          </w:tcPr>
          <w:p w:rsidR="00D6133D" w:rsidRPr="00FC7501" w:rsidRDefault="00D6133D" w:rsidP="006B35D4">
            <w:pPr>
              <w:pStyle w:val="TableText"/>
            </w:pPr>
          </w:p>
        </w:tc>
        <w:tc>
          <w:tcPr>
            <w:tcW w:w="1728"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3600" w:type="dxa"/>
          </w:tcPr>
          <w:p w:rsidR="00D6133D" w:rsidRPr="00FC7501" w:rsidRDefault="00D6133D" w:rsidP="006B35D4">
            <w:pPr>
              <w:pStyle w:val="TableText"/>
            </w:pPr>
          </w:p>
        </w:tc>
      </w:tr>
      <w:tr w:rsidR="00D6133D" w:rsidRPr="00FC7501" w:rsidTr="00975A46">
        <w:trPr>
          <w:jc w:val="center"/>
        </w:trPr>
        <w:tc>
          <w:tcPr>
            <w:tcW w:w="3888" w:type="dxa"/>
          </w:tcPr>
          <w:p w:rsidR="00D6133D" w:rsidRPr="00FC7501" w:rsidRDefault="00D6133D" w:rsidP="006B35D4">
            <w:pPr>
              <w:pStyle w:val="TableText"/>
            </w:pPr>
            <w:r w:rsidRPr="00FC7501">
              <w:t>New services provided</w:t>
            </w:r>
          </w:p>
        </w:tc>
        <w:tc>
          <w:tcPr>
            <w:tcW w:w="1440" w:type="dxa"/>
          </w:tcPr>
          <w:p w:rsidR="00D6133D" w:rsidRPr="00FC7501" w:rsidRDefault="00D6133D" w:rsidP="006B35D4">
            <w:pPr>
              <w:pStyle w:val="TableText"/>
            </w:pPr>
            <w:r w:rsidRPr="00FC7501">
              <w:t>0</w:t>
            </w:r>
          </w:p>
        </w:tc>
        <w:tc>
          <w:tcPr>
            <w:tcW w:w="1728"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3600" w:type="dxa"/>
          </w:tcPr>
          <w:p w:rsidR="00D6133D" w:rsidRPr="00FC7501" w:rsidRDefault="00D6133D" w:rsidP="006B35D4">
            <w:pPr>
              <w:pStyle w:val="TableText"/>
            </w:pPr>
          </w:p>
        </w:tc>
      </w:tr>
      <w:tr w:rsidR="00D6133D" w:rsidRPr="00FC7501" w:rsidTr="00975A46">
        <w:trPr>
          <w:jc w:val="center"/>
        </w:trPr>
        <w:tc>
          <w:tcPr>
            <w:tcW w:w="3888" w:type="dxa"/>
          </w:tcPr>
          <w:p w:rsidR="00D6133D" w:rsidRPr="00FC7501" w:rsidRDefault="00D6133D" w:rsidP="006B35D4">
            <w:pPr>
              <w:pStyle w:val="TableText"/>
            </w:pPr>
            <w:r w:rsidRPr="00FC7501">
              <w:t>Avoidance of penalties from insurers for “never events”</w:t>
            </w:r>
          </w:p>
        </w:tc>
        <w:tc>
          <w:tcPr>
            <w:tcW w:w="1440" w:type="dxa"/>
          </w:tcPr>
          <w:p w:rsidR="00D6133D" w:rsidRPr="00FC7501" w:rsidRDefault="00D6133D" w:rsidP="006B35D4">
            <w:pPr>
              <w:pStyle w:val="TableText"/>
            </w:pPr>
          </w:p>
        </w:tc>
        <w:tc>
          <w:tcPr>
            <w:tcW w:w="1728"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3600" w:type="dxa"/>
          </w:tcPr>
          <w:p w:rsidR="00D6133D" w:rsidRPr="00FC7501" w:rsidRDefault="00D6133D" w:rsidP="006B35D4">
            <w:pPr>
              <w:pStyle w:val="TableText"/>
            </w:pPr>
          </w:p>
        </w:tc>
      </w:tr>
      <w:tr w:rsidR="00D6133D" w:rsidRPr="00FC7501" w:rsidTr="00975A46">
        <w:trPr>
          <w:jc w:val="center"/>
        </w:trPr>
        <w:tc>
          <w:tcPr>
            <w:tcW w:w="3888" w:type="dxa"/>
          </w:tcPr>
          <w:p w:rsidR="00D6133D" w:rsidRPr="00FC7501" w:rsidRDefault="00D6133D" w:rsidP="006B35D4">
            <w:pPr>
              <w:pStyle w:val="TableText"/>
            </w:pPr>
            <w:r w:rsidRPr="00FC7501">
              <w:t xml:space="preserve">Other effects on revenues </w:t>
            </w:r>
          </w:p>
        </w:tc>
        <w:tc>
          <w:tcPr>
            <w:tcW w:w="1440" w:type="dxa"/>
          </w:tcPr>
          <w:p w:rsidR="00D6133D" w:rsidRPr="00FC7501" w:rsidRDefault="00D6133D" w:rsidP="006B35D4">
            <w:pPr>
              <w:pStyle w:val="TableText"/>
            </w:pPr>
          </w:p>
        </w:tc>
        <w:tc>
          <w:tcPr>
            <w:tcW w:w="1728"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3600" w:type="dxa"/>
          </w:tcPr>
          <w:p w:rsidR="00D6133D" w:rsidRPr="00FC7501" w:rsidRDefault="00D6133D" w:rsidP="006B35D4">
            <w:pPr>
              <w:pStyle w:val="TableText"/>
            </w:pPr>
          </w:p>
        </w:tc>
      </w:tr>
      <w:tr w:rsidR="00D6133D" w:rsidRPr="00FC7501" w:rsidTr="00975A46">
        <w:trPr>
          <w:jc w:val="center"/>
        </w:trPr>
        <w:tc>
          <w:tcPr>
            <w:tcW w:w="3888" w:type="dxa"/>
          </w:tcPr>
          <w:p w:rsidR="00D6133D" w:rsidRPr="00975A46" w:rsidRDefault="00975A46" w:rsidP="006B35D4">
            <w:pPr>
              <w:pStyle w:val="TableText"/>
              <w:rPr>
                <w:b/>
              </w:rPr>
            </w:pPr>
            <w:r>
              <w:rPr>
                <w:b/>
              </w:rPr>
              <w:t>Changes in C</w:t>
            </w:r>
            <w:r w:rsidR="00D6133D" w:rsidRPr="00975A46">
              <w:rPr>
                <w:b/>
              </w:rPr>
              <w:t>osts:</w:t>
            </w:r>
          </w:p>
        </w:tc>
        <w:tc>
          <w:tcPr>
            <w:tcW w:w="1440" w:type="dxa"/>
          </w:tcPr>
          <w:p w:rsidR="00D6133D" w:rsidRPr="00FC7501" w:rsidRDefault="00D6133D" w:rsidP="006B35D4">
            <w:pPr>
              <w:pStyle w:val="TableText"/>
            </w:pPr>
          </w:p>
        </w:tc>
        <w:tc>
          <w:tcPr>
            <w:tcW w:w="1728" w:type="dxa"/>
          </w:tcPr>
          <w:p w:rsidR="00D6133D" w:rsidRPr="00FC7501" w:rsidRDefault="00D6133D" w:rsidP="006B35D4">
            <w:pPr>
              <w:pStyle w:val="TableText"/>
            </w:pPr>
          </w:p>
        </w:tc>
        <w:tc>
          <w:tcPr>
            <w:tcW w:w="1584" w:type="dxa"/>
          </w:tcPr>
          <w:p w:rsidR="00D6133D" w:rsidRPr="00764461" w:rsidRDefault="00D6133D" w:rsidP="006B35D4">
            <w:pPr>
              <w:pStyle w:val="TableText"/>
              <w:rPr>
                <w:b/>
              </w:rPr>
            </w:pPr>
            <w:r w:rsidRPr="00764461">
              <w:rPr>
                <w:b/>
              </w:rPr>
              <w:t>(A minus B)</w:t>
            </w:r>
          </w:p>
        </w:tc>
        <w:tc>
          <w:tcPr>
            <w:tcW w:w="3600" w:type="dxa"/>
          </w:tcPr>
          <w:p w:rsidR="00D6133D" w:rsidRPr="00FC7501" w:rsidRDefault="00D6133D" w:rsidP="006B35D4">
            <w:pPr>
              <w:pStyle w:val="TableText"/>
            </w:pPr>
          </w:p>
        </w:tc>
      </w:tr>
      <w:tr w:rsidR="00D6133D" w:rsidRPr="00FC7501" w:rsidTr="00975A46">
        <w:trPr>
          <w:jc w:val="center"/>
        </w:trPr>
        <w:tc>
          <w:tcPr>
            <w:tcW w:w="3888" w:type="dxa"/>
          </w:tcPr>
          <w:p w:rsidR="00D6133D" w:rsidRPr="00FC7501" w:rsidRDefault="00D6133D" w:rsidP="006B35D4">
            <w:pPr>
              <w:pStyle w:val="TableText"/>
            </w:pPr>
            <w:r w:rsidRPr="00FC7501">
              <w:t>Service operating costs: staffing, supplies, equipment, other due to</w:t>
            </w:r>
            <w:r>
              <w:t xml:space="preserve"> ___________</w:t>
            </w:r>
          </w:p>
        </w:tc>
        <w:tc>
          <w:tcPr>
            <w:tcW w:w="1440" w:type="dxa"/>
          </w:tcPr>
          <w:p w:rsidR="00D6133D" w:rsidRPr="00FC7501" w:rsidRDefault="00D6133D" w:rsidP="006B35D4">
            <w:pPr>
              <w:pStyle w:val="TableText"/>
            </w:pPr>
          </w:p>
        </w:tc>
        <w:tc>
          <w:tcPr>
            <w:tcW w:w="1728"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3600" w:type="dxa"/>
          </w:tcPr>
          <w:p w:rsidR="00D6133D" w:rsidRPr="00FC7501" w:rsidRDefault="00D6133D" w:rsidP="006B35D4">
            <w:pPr>
              <w:pStyle w:val="TableText"/>
            </w:pPr>
          </w:p>
        </w:tc>
      </w:tr>
      <w:tr w:rsidR="00D6133D" w:rsidRPr="00FC7501" w:rsidTr="00975A46">
        <w:trPr>
          <w:jc w:val="center"/>
        </w:trPr>
        <w:tc>
          <w:tcPr>
            <w:tcW w:w="3888" w:type="dxa"/>
          </w:tcPr>
          <w:p w:rsidR="00D6133D" w:rsidRPr="00FC7501" w:rsidRDefault="00D6133D" w:rsidP="006B35D4">
            <w:pPr>
              <w:pStyle w:val="TableText"/>
            </w:pPr>
            <w:r w:rsidRPr="00FC7501">
              <w:t>Admissions, readmissions, length of stay</w:t>
            </w:r>
          </w:p>
        </w:tc>
        <w:tc>
          <w:tcPr>
            <w:tcW w:w="1440" w:type="dxa"/>
          </w:tcPr>
          <w:p w:rsidR="00D6133D" w:rsidRPr="00FC7501" w:rsidRDefault="00D6133D" w:rsidP="006B35D4">
            <w:pPr>
              <w:pStyle w:val="TableText"/>
            </w:pPr>
          </w:p>
        </w:tc>
        <w:tc>
          <w:tcPr>
            <w:tcW w:w="1728"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3600" w:type="dxa"/>
          </w:tcPr>
          <w:p w:rsidR="00D6133D" w:rsidRPr="00FC7501" w:rsidRDefault="00D6133D" w:rsidP="006B35D4">
            <w:pPr>
              <w:pStyle w:val="TableText"/>
            </w:pPr>
          </w:p>
        </w:tc>
      </w:tr>
      <w:tr w:rsidR="00D6133D" w:rsidRPr="00FC7501" w:rsidTr="00975A46">
        <w:trPr>
          <w:jc w:val="center"/>
        </w:trPr>
        <w:tc>
          <w:tcPr>
            <w:tcW w:w="3888" w:type="dxa"/>
          </w:tcPr>
          <w:p w:rsidR="00D6133D" w:rsidRPr="00FC7501" w:rsidRDefault="00D6133D" w:rsidP="006B35D4">
            <w:pPr>
              <w:pStyle w:val="TableText"/>
            </w:pPr>
            <w:r w:rsidRPr="00FC7501">
              <w:t xml:space="preserve">Intensity of care </w:t>
            </w:r>
          </w:p>
        </w:tc>
        <w:tc>
          <w:tcPr>
            <w:tcW w:w="1440" w:type="dxa"/>
          </w:tcPr>
          <w:p w:rsidR="00D6133D" w:rsidRPr="00FC7501" w:rsidRDefault="00D6133D" w:rsidP="006B35D4">
            <w:pPr>
              <w:pStyle w:val="TableText"/>
            </w:pPr>
          </w:p>
        </w:tc>
        <w:tc>
          <w:tcPr>
            <w:tcW w:w="1728"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3600" w:type="dxa"/>
          </w:tcPr>
          <w:p w:rsidR="00D6133D" w:rsidRPr="00FC7501" w:rsidRDefault="00D6133D" w:rsidP="006B35D4">
            <w:pPr>
              <w:pStyle w:val="TableText"/>
            </w:pPr>
          </w:p>
        </w:tc>
      </w:tr>
      <w:tr w:rsidR="00D6133D" w:rsidRPr="00FC7501" w:rsidTr="00975A46">
        <w:trPr>
          <w:jc w:val="center"/>
        </w:trPr>
        <w:tc>
          <w:tcPr>
            <w:tcW w:w="3888" w:type="dxa"/>
          </w:tcPr>
          <w:p w:rsidR="00D6133D" w:rsidRPr="00FC7501" w:rsidRDefault="00D6133D" w:rsidP="006B35D4">
            <w:pPr>
              <w:pStyle w:val="TableText"/>
            </w:pPr>
            <w:r w:rsidRPr="00FC7501">
              <w:t>Productivity/efficiency changes</w:t>
            </w:r>
          </w:p>
        </w:tc>
        <w:tc>
          <w:tcPr>
            <w:tcW w:w="1440" w:type="dxa"/>
          </w:tcPr>
          <w:p w:rsidR="00D6133D" w:rsidRPr="00FC7501" w:rsidRDefault="00D6133D" w:rsidP="006B35D4">
            <w:pPr>
              <w:pStyle w:val="TableText"/>
            </w:pPr>
          </w:p>
        </w:tc>
        <w:tc>
          <w:tcPr>
            <w:tcW w:w="1728"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3600" w:type="dxa"/>
          </w:tcPr>
          <w:p w:rsidR="00D6133D" w:rsidRPr="00FC7501" w:rsidRDefault="00D6133D" w:rsidP="006B35D4">
            <w:pPr>
              <w:pStyle w:val="TableText"/>
            </w:pPr>
          </w:p>
        </w:tc>
      </w:tr>
      <w:tr w:rsidR="00D6133D" w:rsidRPr="00FC7501" w:rsidTr="00975A46">
        <w:trPr>
          <w:jc w:val="center"/>
        </w:trPr>
        <w:tc>
          <w:tcPr>
            <w:tcW w:w="3888" w:type="dxa"/>
          </w:tcPr>
          <w:p w:rsidR="00D6133D" w:rsidRPr="00FC7501" w:rsidRDefault="00D6133D" w:rsidP="006B35D4">
            <w:pPr>
              <w:pStyle w:val="TableText"/>
            </w:pPr>
            <w:r w:rsidRPr="00FC7501">
              <w:t>Avoidance of liability litigation</w:t>
            </w:r>
          </w:p>
        </w:tc>
        <w:tc>
          <w:tcPr>
            <w:tcW w:w="1440" w:type="dxa"/>
          </w:tcPr>
          <w:p w:rsidR="00D6133D" w:rsidRPr="00FC7501" w:rsidRDefault="00D6133D" w:rsidP="006B35D4">
            <w:pPr>
              <w:pStyle w:val="TableText"/>
            </w:pPr>
          </w:p>
        </w:tc>
        <w:tc>
          <w:tcPr>
            <w:tcW w:w="1728" w:type="dxa"/>
          </w:tcPr>
          <w:p w:rsidR="00D6133D" w:rsidRPr="00FC7501" w:rsidRDefault="00D6133D" w:rsidP="006B35D4">
            <w:pPr>
              <w:pStyle w:val="TableText"/>
            </w:pPr>
          </w:p>
        </w:tc>
        <w:tc>
          <w:tcPr>
            <w:tcW w:w="1584" w:type="dxa"/>
          </w:tcPr>
          <w:p w:rsidR="00D6133D" w:rsidRPr="00FC7501" w:rsidRDefault="00D6133D" w:rsidP="006B35D4">
            <w:pPr>
              <w:pStyle w:val="TableText"/>
            </w:pPr>
          </w:p>
        </w:tc>
        <w:tc>
          <w:tcPr>
            <w:tcW w:w="3600" w:type="dxa"/>
          </w:tcPr>
          <w:p w:rsidR="00D6133D" w:rsidRPr="00FC7501" w:rsidRDefault="00D6133D" w:rsidP="006B35D4">
            <w:pPr>
              <w:pStyle w:val="TableText"/>
            </w:pPr>
          </w:p>
        </w:tc>
      </w:tr>
      <w:tr w:rsidR="00D6133D" w:rsidRPr="00FC7501" w:rsidTr="00975A46">
        <w:trPr>
          <w:jc w:val="center"/>
        </w:trPr>
        <w:tc>
          <w:tcPr>
            <w:tcW w:w="3888" w:type="dxa"/>
          </w:tcPr>
          <w:p w:rsidR="00D6133D" w:rsidRPr="00FC7501" w:rsidRDefault="00D6133D" w:rsidP="006B35D4">
            <w:pPr>
              <w:pStyle w:val="TableText"/>
            </w:pPr>
            <w:r w:rsidRPr="00FC7501">
              <w:t>Other effects on costs</w:t>
            </w:r>
          </w:p>
        </w:tc>
        <w:tc>
          <w:tcPr>
            <w:tcW w:w="1440" w:type="dxa"/>
          </w:tcPr>
          <w:p w:rsidR="00D6133D" w:rsidRPr="00FC7501" w:rsidRDefault="00D6133D" w:rsidP="006B35D4">
            <w:pPr>
              <w:pStyle w:val="TableText"/>
            </w:pPr>
          </w:p>
        </w:tc>
        <w:tc>
          <w:tcPr>
            <w:tcW w:w="1728" w:type="dxa"/>
          </w:tcPr>
          <w:p w:rsidR="00D6133D" w:rsidRPr="00FC7501" w:rsidRDefault="00D6133D" w:rsidP="006B35D4">
            <w:pPr>
              <w:pStyle w:val="TableText"/>
            </w:pPr>
          </w:p>
        </w:tc>
        <w:tc>
          <w:tcPr>
            <w:tcW w:w="1584" w:type="dxa"/>
            <w:tcBorders>
              <w:bottom w:val="single" w:sz="4" w:space="0" w:color="auto"/>
            </w:tcBorders>
          </w:tcPr>
          <w:p w:rsidR="00D6133D" w:rsidRPr="00FC7501" w:rsidRDefault="00D6133D" w:rsidP="006B35D4">
            <w:pPr>
              <w:pStyle w:val="TableText"/>
            </w:pPr>
          </w:p>
        </w:tc>
        <w:tc>
          <w:tcPr>
            <w:tcW w:w="3600" w:type="dxa"/>
          </w:tcPr>
          <w:p w:rsidR="00D6133D" w:rsidRPr="00FC7501" w:rsidRDefault="00D6133D" w:rsidP="006B35D4">
            <w:pPr>
              <w:pStyle w:val="TableText"/>
            </w:pPr>
          </w:p>
        </w:tc>
      </w:tr>
      <w:tr w:rsidR="00D6133D" w:rsidRPr="00FC7501" w:rsidTr="00975A46">
        <w:trPr>
          <w:jc w:val="center"/>
        </w:trPr>
        <w:tc>
          <w:tcPr>
            <w:tcW w:w="3888" w:type="dxa"/>
          </w:tcPr>
          <w:p w:rsidR="00D6133D" w:rsidRPr="00764461" w:rsidRDefault="00D6133D" w:rsidP="006B35D4">
            <w:pPr>
              <w:pStyle w:val="TableText"/>
              <w:rPr>
                <w:b/>
              </w:rPr>
            </w:pPr>
            <w:r>
              <w:rPr>
                <w:b/>
              </w:rPr>
              <w:t>Net Financial Effect (Total)</w:t>
            </w:r>
          </w:p>
        </w:tc>
        <w:tc>
          <w:tcPr>
            <w:tcW w:w="1440" w:type="dxa"/>
          </w:tcPr>
          <w:p w:rsidR="00D6133D" w:rsidRPr="00FC7501" w:rsidRDefault="00D6133D" w:rsidP="006B35D4">
            <w:pPr>
              <w:pStyle w:val="TableText"/>
            </w:pPr>
          </w:p>
        </w:tc>
        <w:tc>
          <w:tcPr>
            <w:tcW w:w="1728" w:type="dxa"/>
          </w:tcPr>
          <w:p w:rsidR="00D6133D" w:rsidRPr="00FC7501" w:rsidRDefault="00D6133D" w:rsidP="006B35D4">
            <w:pPr>
              <w:pStyle w:val="TableText"/>
            </w:pPr>
          </w:p>
        </w:tc>
        <w:tc>
          <w:tcPr>
            <w:tcW w:w="1584" w:type="dxa"/>
            <w:shd w:val="clear" w:color="auto" w:fill="FFFF00"/>
          </w:tcPr>
          <w:p w:rsidR="00D6133D" w:rsidRPr="00FC7501" w:rsidRDefault="00D6133D" w:rsidP="00975A46">
            <w:pPr>
              <w:pStyle w:val="TableText"/>
              <w:jc w:val="center"/>
            </w:pPr>
          </w:p>
        </w:tc>
        <w:tc>
          <w:tcPr>
            <w:tcW w:w="3600" w:type="dxa"/>
          </w:tcPr>
          <w:p w:rsidR="00D6133D" w:rsidRPr="00FC7501" w:rsidRDefault="00D6133D" w:rsidP="006B35D4">
            <w:pPr>
              <w:pStyle w:val="TableText"/>
            </w:pPr>
          </w:p>
        </w:tc>
      </w:tr>
    </w:tbl>
    <w:p w:rsidR="00D6133D" w:rsidRDefault="00D6133D" w:rsidP="00D6133D">
      <w:pPr>
        <w:spacing w:before="240"/>
        <w:sectPr w:rsidR="00D6133D" w:rsidSect="00D31475">
          <w:footerReference w:type="default" r:id="rId18"/>
          <w:pgSz w:w="15840" w:h="12240" w:orient="landscape"/>
          <w:pgMar w:top="720" w:right="1440" w:bottom="720" w:left="1440" w:header="720" w:footer="720" w:gutter="0"/>
          <w:cols w:space="720"/>
          <w:docGrid w:linePitch="360"/>
        </w:sectPr>
      </w:pPr>
    </w:p>
    <w:p w:rsidR="00873881" w:rsidRPr="00CC3DE2" w:rsidRDefault="00873881" w:rsidP="00CC3DE2">
      <w:pPr>
        <w:pStyle w:val="Heading2"/>
        <w:spacing w:after="240"/>
        <w:jc w:val="center"/>
        <w:rPr>
          <w:i w:val="0"/>
        </w:rPr>
      </w:pPr>
      <w:r w:rsidRPr="00CC3DE2">
        <w:rPr>
          <w:i w:val="0"/>
        </w:rPr>
        <w:lastRenderedPageBreak/>
        <w:t>Case Study: ROI Calculation for CPOE Implementation</w:t>
      </w:r>
    </w:p>
    <w:p w:rsidR="00873881" w:rsidRPr="00B93A7B" w:rsidRDefault="00873881" w:rsidP="00873881">
      <w:r w:rsidRPr="00B93A7B">
        <w:t>This case study is summarized from</w:t>
      </w:r>
      <w:r w:rsidR="00B93A7B">
        <w:t xml:space="preserve"> a published </w:t>
      </w:r>
      <w:r w:rsidR="00957D2D">
        <w:t>journal article</w:t>
      </w:r>
      <w:r w:rsidR="00B93A7B" w:rsidRPr="00957D2D">
        <w:t xml:space="preserve"> </w:t>
      </w:r>
      <w:r w:rsidR="00B93A7B">
        <w:t>that</w:t>
      </w:r>
      <w:r w:rsidR="00B93A7B" w:rsidRPr="00957D2D">
        <w:t xml:space="preserve"> evaluate</w:t>
      </w:r>
      <w:r w:rsidR="00B93A7B">
        <w:t>d</w:t>
      </w:r>
      <w:r w:rsidR="00B93A7B" w:rsidRPr="00957D2D">
        <w:t xml:space="preserve"> the</w:t>
      </w:r>
      <w:r w:rsidRPr="00B93A7B">
        <w:t xml:space="preserve"> </w:t>
      </w:r>
      <w:r w:rsidR="00957D2D">
        <w:t xml:space="preserve">financial </w:t>
      </w:r>
      <w:r w:rsidRPr="00B93A7B">
        <w:t>impact of implementing a computerized physician order entry (CPOE) system at Brigham and Women’s Hospital (BWH).</w:t>
      </w:r>
      <w:r w:rsidR="00B93A7B" w:rsidRPr="00957D2D">
        <w:rPr>
          <w:rStyle w:val="FootnoteReference"/>
        </w:rPr>
        <w:footnoteReference w:id="2"/>
      </w:r>
      <w:r w:rsidR="00381E52">
        <w:t xml:space="preserve"> </w:t>
      </w:r>
      <w:r w:rsidR="00957D2D" w:rsidRPr="00CB28BC">
        <w:t>Few ROI analyses ha</w:t>
      </w:r>
      <w:r w:rsidR="00957D2D">
        <w:t xml:space="preserve">ve been published in the health </w:t>
      </w:r>
      <w:r w:rsidR="00957D2D" w:rsidRPr="00CB28BC">
        <w:t>services literature because they are not typically performed as research studies.</w:t>
      </w:r>
    </w:p>
    <w:p w:rsidR="00873881" w:rsidRPr="00FC7501" w:rsidRDefault="00873881" w:rsidP="00873881">
      <w:proofErr w:type="gramStart"/>
      <w:r w:rsidRPr="003B4FDF">
        <w:rPr>
          <w:b/>
        </w:rPr>
        <w:t xml:space="preserve">Calculating </w:t>
      </w:r>
      <w:r w:rsidRPr="00453AAE">
        <w:rPr>
          <w:b/>
        </w:rPr>
        <w:t>implementation costs</w:t>
      </w:r>
      <w:r w:rsidRPr="00E81BDA">
        <w:rPr>
          <w:rFonts w:ascii="Arial" w:hAnsi="Arial"/>
          <w:sz w:val="20"/>
        </w:rPr>
        <w:t xml:space="preserve"> </w:t>
      </w:r>
      <w:r w:rsidRPr="00FC7501">
        <w:rPr>
          <w:b/>
        </w:rPr>
        <w:t>(denominator).</w:t>
      </w:r>
      <w:proofErr w:type="gramEnd"/>
      <w:r w:rsidR="00381E52">
        <w:t xml:space="preserve"> </w:t>
      </w:r>
      <w:r w:rsidRPr="00FC7501">
        <w:t>Costs were determined for each stage of practice implementation from 1992</w:t>
      </w:r>
      <w:r>
        <w:t xml:space="preserve"> to </w:t>
      </w:r>
      <w:r w:rsidRPr="00FC7501">
        <w:t>2002.</w:t>
      </w:r>
      <w:r w:rsidR="00381E52">
        <w:t xml:space="preserve"> </w:t>
      </w:r>
      <w:r w:rsidRPr="00FC7501">
        <w:t>First, the capital costs of developing and implementing the CPOE system were estimated to be $3.7 million, based on internal documents and interviews with the developers.</w:t>
      </w:r>
      <w:r w:rsidR="00381E52">
        <w:t xml:space="preserve"> </w:t>
      </w:r>
      <w:r w:rsidRPr="00FC7501">
        <w:t xml:space="preserve">Sixty percent of this cost was attributed to the first year of the study period (development costs) and 20 percent was attributed to each of the next </w:t>
      </w:r>
      <w:r>
        <w:t>2</w:t>
      </w:r>
      <w:r w:rsidRPr="00FC7501">
        <w:t xml:space="preserve"> years (startup). </w:t>
      </w:r>
    </w:p>
    <w:p w:rsidR="00873881" w:rsidRPr="00FC7501" w:rsidRDefault="00873881" w:rsidP="00873881">
      <w:r w:rsidRPr="00FC7501">
        <w:t xml:space="preserve">Next, operational costs starting in year </w:t>
      </w:r>
      <w:r>
        <w:t>2</w:t>
      </w:r>
      <w:r w:rsidRPr="00FC7501">
        <w:t xml:space="preserve"> of the study period were calculated.</w:t>
      </w:r>
      <w:r w:rsidR="00381E52">
        <w:t xml:space="preserve"> </w:t>
      </w:r>
      <w:r w:rsidRPr="00FC7501">
        <w:t>These costs included hardware (workstations and printers), software, network, leadership, and training.</w:t>
      </w:r>
      <w:r w:rsidR="00381E52">
        <w:t xml:space="preserve"> </w:t>
      </w:r>
      <w:r w:rsidRPr="00FC7501">
        <w:t>They did not include costs for the pharmacy system, medication administration system, or clinical data repository.</w:t>
      </w:r>
      <w:r w:rsidR="00381E52">
        <w:t xml:space="preserve"> </w:t>
      </w:r>
      <w:r w:rsidRPr="00FC7501">
        <w:t>Operational costs ranged from $600,000 to $1.1 million per year.</w:t>
      </w:r>
      <w:r w:rsidR="00381E52">
        <w:t xml:space="preserve"> </w:t>
      </w:r>
      <w:r w:rsidRPr="00FC7501">
        <w:t>Development, implementation, and operation of the CPOE system cost $11.8 million over 1</w:t>
      </w:r>
      <w:r w:rsidR="0089042E">
        <w:t>0</w:t>
      </w:r>
      <w:r w:rsidRPr="00FC7501">
        <w:t xml:space="preserve"> years. </w:t>
      </w:r>
    </w:p>
    <w:p w:rsidR="00873881" w:rsidRPr="00FC7501" w:rsidRDefault="00873881" w:rsidP="00873881">
      <w:r>
        <w:rPr>
          <w:b/>
        </w:rPr>
        <w:t>Calculating net r</w:t>
      </w:r>
      <w:r w:rsidRPr="00FC7501">
        <w:rPr>
          <w:b/>
        </w:rPr>
        <w:t>eturns from the program (numerator).</w:t>
      </w:r>
      <w:r w:rsidR="00381E52">
        <w:t xml:space="preserve"> </w:t>
      </w:r>
      <w:r w:rsidRPr="00FC7501">
        <w:t>To estimate the savings generated from the CPOE system, the</w:t>
      </w:r>
      <w:r>
        <w:t xml:space="preserve"> ROI</w:t>
      </w:r>
      <w:r w:rsidRPr="00FC7501">
        <w:t xml:space="preserve"> team retrospectively identified each way the practice saved money (for a detailed description of each element of the program and its method of cost savings, see </w:t>
      </w:r>
      <w:proofErr w:type="spellStart"/>
      <w:r w:rsidRPr="00FC7501">
        <w:t>Kaushal</w:t>
      </w:r>
      <w:proofErr w:type="spellEnd"/>
      <w:r>
        <w:t>,</w:t>
      </w:r>
      <w:r w:rsidRPr="00FC7501">
        <w:t xml:space="preserve"> et al</w:t>
      </w:r>
      <w:r>
        <w:t>.</w:t>
      </w:r>
      <w:r w:rsidRPr="00FC7501">
        <w:t>, 2006).</w:t>
      </w:r>
      <w:r w:rsidR="00381E52">
        <w:t xml:space="preserve"> </w:t>
      </w:r>
      <w:r w:rsidRPr="00FC7501">
        <w:t>The benefits were determined using published literature, key informant interviews, and internal documents.</w:t>
      </w:r>
      <w:r w:rsidR="00381E52">
        <w:t xml:space="preserve"> </w:t>
      </w:r>
      <w:r w:rsidRPr="00FC7501">
        <w:t>For many components of the CPOE, the number of estimated adverse drug events (ADE</w:t>
      </w:r>
      <w:r w:rsidR="00975A46">
        <w:t>s</w:t>
      </w:r>
      <w:r w:rsidRPr="00FC7501">
        <w:t>) averted was multiplied by an average cost per ADE.</w:t>
      </w:r>
      <w:r w:rsidR="00381E52">
        <w:t xml:space="preserve"> </w:t>
      </w:r>
    </w:p>
    <w:p w:rsidR="00873881" w:rsidRPr="00FC7501" w:rsidRDefault="00873881" w:rsidP="00873881">
      <w:r w:rsidRPr="00FC7501">
        <w:t xml:space="preserve">Other types of cost savings identified included decreased drug costs (decreased use and shift from use of intravenous to oral medications, decreased laboratory tests, reduction in use of inappropriate radiology tests, savings in nursing and </w:t>
      </w:r>
      <w:r w:rsidR="003234B7">
        <w:t>provider</w:t>
      </w:r>
      <w:r w:rsidR="003234B7" w:rsidRPr="00FC7501">
        <w:t xml:space="preserve"> </w:t>
      </w:r>
      <w:r w:rsidRPr="00FC7501">
        <w:t>time by improved workflow).</w:t>
      </w:r>
      <w:r w:rsidR="00381E52">
        <w:t xml:space="preserve"> </w:t>
      </w:r>
      <w:r w:rsidRPr="00FC7501">
        <w:t xml:space="preserve">Drugs and tests </w:t>
      </w:r>
      <w:r>
        <w:t>were</w:t>
      </w:r>
      <w:r w:rsidRPr="00FC7501">
        <w:t xml:space="preserve"> valued using charge amounts and applying a 0.2 cost-to-charge ratio).</w:t>
      </w:r>
      <w:r w:rsidR="00381E52">
        <w:t xml:space="preserve"> </w:t>
      </w:r>
    </w:p>
    <w:p w:rsidR="00873881" w:rsidRDefault="00873881" w:rsidP="00873881">
      <w:r w:rsidRPr="00FC7501">
        <w:t xml:space="preserve">Because different elements of the CPOE system were introduced </w:t>
      </w:r>
      <w:r>
        <w:t>in stages</w:t>
      </w:r>
      <w:r w:rsidRPr="00FC7501">
        <w:t xml:space="preserve">, benefits were only calculated for those elements starting on the first day of the month after </w:t>
      </w:r>
      <w:r>
        <w:t>the element</w:t>
      </w:r>
      <w:r w:rsidRPr="00FC7501">
        <w:t xml:space="preserve"> was implemented.</w:t>
      </w:r>
      <w:r w:rsidR="00381E52">
        <w:t xml:space="preserve"> </w:t>
      </w:r>
      <w:r w:rsidRPr="00FC7501">
        <w:t>This process was repeated for every intervention and area of cost savings; they found that the system saved the hospital $28.5 million over the 1</w:t>
      </w:r>
      <w:r w:rsidR="0089042E">
        <w:t>0</w:t>
      </w:r>
      <w:r w:rsidRPr="00FC7501">
        <w:t xml:space="preserve"> years</w:t>
      </w:r>
      <w:r>
        <w:t>.</w:t>
      </w:r>
      <w:r w:rsidR="00381E52">
        <w:t xml:space="preserve"> </w:t>
      </w:r>
      <w:r>
        <w:t>Note that cost savings</w:t>
      </w:r>
      <w:r w:rsidR="00975A46">
        <w:t xml:space="preserve"> identified in their net return</w:t>
      </w:r>
      <w:r>
        <w:t xml:space="preserve"> analysis does not take implementation costs, the denominator, into account.</w:t>
      </w:r>
      <w:r w:rsidR="00381E52">
        <w:t xml:space="preserve"> </w:t>
      </w:r>
    </w:p>
    <w:p w:rsidR="00873881" w:rsidRPr="00FC7501" w:rsidRDefault="00873881" w:rsidP="00873881">
      <w:proofErr w:type="gramStart"/>
      <w:r w:rsidRPr="00FC7501">
        <w:rPr>
          <w:b/>
        </w:rPr>
        <w:t>Selecting the time horizon</w:t>
      </w:r>
      <w:r>
        <w:rPr>
          <w:b/>
        </w:rPr>
        <w:t>.</w:t>
      </w:r>
      <w:proofErr w:type="gramEnd"/>
      <w:r w:rsidRPr="00FC7501">
        <w:t xml:space="preserve"> The staff assessed the ROI of the CPOE system over a period of </w:t>
      </w:r>
      <w:r>
        <w:t>10</w:t>
      </w:r>
      <w:r w:rsidRPr="00FC7501">
        <w:t xml:space="preserve"> years to allow enough time to see a return. Because the time horizon was longer than </w:t>
      </w:r>
      <w:r>
        <w:t>2</w:t>
      </w:r>
      <w:r w:rsidRPr="00FC7501">
        <w:t xml:space="preserve"> years, they needed to make adjustments for the following issues:</w:t>
      </w:r>
    </w:p>
    <w:p w:rsidR="00873881" w:rsidRPr="00FC7501" w:rsidRDefault="00873881" w:rsidP="00873881">
      <w:pPr>
        <w:pStyle w:val="ListBullet2"/>
      </w:pPr>
      <w:r w:rsidRPr="00FC7501">
        <w:rPr>
          <w:i/>
        </w:rPr>
        <w:lastRenderedPageBreak/>
        <w:t>Inflation:</w:t>
      </w:r>
      <w:r w:rsidR="00381E52">
        <w:t xml:space="preserve"> </w:t>
      </w:r>
      <w:r w:rsidRPr="00FC7501">
        <w:t xml:space="preserve">Dollar values for costs and benefits were converted to a constant dollar basis to adjust for inflation. They used the Bureau of Labor Statistics’ Producer Price Index time series for General Medical and Surgical Hospitals to standardize values to 2002 currency. </w:t>
      </w:r>
    </w:p>
    <w:p w:rsidR="00873881" w:rsidRPr="00FC7501" w:rsidRDefault="00873881" w:rsidP="00873881">
      <w:pPr>
        <w:pStyle w:val="ListBullet2"/>
      </w:pPr>
      <w:r w:rsidRPr="00FC7501">
        <w:rPr>
          <w:i/>
        </w:rPr>
        <w:t>Discounting:</w:t>
      </w:r>
      <w:r w:rsidR="00381E52">
        <w:t xml:space="preserve"> </w:t>
      </w:r>
      <w:r w:rsidRPr="00FC7501">
        <w:t xml:space="preserve">All costs and benefits were discounted at a </w:t>
      </w:r>
      <w:r>
        <w:t>7</w:t>
      </w:r>
      <w:r w:rsidRPr="00FC7501">
        <w:t xml:space="preserve"> percent annual percentage rate as recommended by the U.S. Office of Management and Budget for economic analyses performed for the </w:t>
      </w:r>
      <w:r>
        <w:t>F</w:t>
      </w:r>
      <w:r w:rsidRPr="00FC7501">
        <w:t xml:space="preserve">ederal </w:t>
      </w:r>
      <w:r>
        <w:t>G</w:t>
      </w:r>
      <w:r w:rsidRPr="00FC7501">
        <w:t>overnment, representing a societal discount rate as opposed to a hospital-specific rate. Costs were discounted using a “beginning-of-period” convention and benefits were discounted using an “end-of-period” convention.</w:t>
      </w:r>
    </w:p>
    <w:p w:rsidR="00873881" w:rsidRPr="00FC7501" w:rsidRDefault="00873881" w:rsidP="00873881">
      <w:pPr>
        <w:pStyle w:val="ListBullet2"/>
      </w:pPr>
      <w:proofErr w:type="spellStart"/>
      <w:r w:rsidRPr="00FC7501">
        <w:rPr>
          <w:i/>
        </w:rPr>
        <w:t>Annualization</w:t>
      </w:r>
      <w:proofErr w:type="spellEnd"/>
      <w:r w:rsidRPr="00FC7501">
        <w:rPr>
          <w:i/>
        </w:rPr>
        <w:t>:</w:t>
      </w:r>
      <w:r w:rsidR="00381E52">
        <w:t xml:space="preserve"> </w:t>
      </w:r>
      <w:r w:rsidRPr="00FC7501">
        <w:t xml:space="preserve">Annualized values were calculated by converting all the discounted costs and benefits into a series of equal annual payments. </w:t>
      </w:r>
    </w:p>
    <w:p w:rsidR="00873881" w:rsidRDefault="00873881" w:rsidP="00D661F6">
      <w:pPr>
        <w:rPr>
          <w:rFonts w:ascii="Arial" w:eastAsia="SimSun" w:hAnsi="Arial"/>
          <w:b/>
          <w:bCs/>
          <w:szCs w:val="27"/>
          <w:lang w:eastAsia="zh-CN"/>
        </w:rPr>
      </w:pPr>
      <w:proofErr w:type="gramStart"/>
      <w:r w:rsidRPr="00FC7501">
        <w:rPr>
          <w:b/>
        </w:rPr>
        <w:t xml:space="preserve">Interpreting the </w:t>
      </w:r>
      <w:r>
        <w:rPr>
          <w:b/>
        </w:rPr>
        <w:t>r</w:t>
      </w:r>
      <w:r w:rsidRPr="00FC7501">
        <w:rPr>
          <w:b/>
        </w:rPr>
        <w:t>esults.</w:t>
      </w:r>
      <w:proofErr w:type="gramEnd"/>
      <w:r w:rsidR="00381E52">
        <w:t xml:space="preserve"> </w:t>
      </w:r>
      <w:r w:rsidRPr="00FC7501">
        <w:t xml:space="preserve">The </w:t>
      </w:r>
      <w:r>
        <w:t xml:space="preserve">ROI </w:t>
      </w:r>
      <w:r w:rsidRPr="00FC7501">
        <w:t xml:space="preserve">analysis yielded a positive return on investment—the CPOE system saved the hospital about $2.2 million </w:t>
      </w:r>
      <w:r>
        <w:t>per year</w:t>
      </w:r>
      <w:r w:rsidRPr="00FC7501">
        <w:t xml:space="preserve"> over the </w:t>
      </w:r>
      <w:r>
        <w:t>1</w:t>
      </w:r>
      <w:r w:rsidR="0089042E">
        <w:t>0</w:t>
      </w:r>
      <w:r>
        <w:t>-</w:t>
      </w:r>
      <w:r w:rsidRPr="00FC7501">
        <w:t>year period.</w:t>
      </w:r>
      <w:r w:rsidR="00381E52">
        <w:t xml:space="preserve"> </w:t>
      </w:r>
      <w:r w:rsidRPr="00FC7501">
        <w:t xml:space="preserve">It took </w:t>
      </w:r>
      <w:r>
        <w:t>more than</w:t>
      </w:r>
      <w:r w:rsidRPr="00FC7501">
        <w:t xml:space="preserve"> </w:t>
      </w:r>
      <w:r>
        <w:t>5</w:t>
      </w:r>
      <w:r w:rsidRPr="00FC7501">
        <w:t xml:space="preserve"> years for the system to have a net benefit.</w:t>
      </w:r>
    </w:p>
    <w:p w:rsidR="00873881" w:rsidRPr="00FC7501" w:rsidRDefault="00315D71" w:rsidP="00873881">
      <w:pPr>
        <w:pStyle w:val="TableTitle"/>
      </w:pPr>
      <w:proofErr w:type="gramStart"/>
      <w:r>
        <w:t>Table 2.</w:t>
      </w:r>
      <w:proofErr w:type="gramEnd"/>
      <w:r w:rsidR="00381E52">
        <w:t xml:space="preserve"> </w:t>
      </w:r>
      <w:r w:rsidR="00873881" w:rsidRPr="00FC7501">
        <w:t xml:space="preserve">Information BWH Used </w:t>
      </w:r>
      <w:r w:rsidR="00873881">
        <w:t>T</w:t>
      </w:r>
      <w:r w:rsidR="00873881" w:rsidRPr="00FC7501">
        <w:t>o Conduct a</w:t>
      </w:r>
      <w:r w:rsidR="00873881">
        <w:t>n</w:t>
      </w:r>
      <w:r w:rsidR="00873881" w:rsidRPr="00FC7501">
        <w:t xml:space="preserve"> ROI Analysis for </w:t>
      </w:r>
      <w:r w:rsidR="00873881">
        <w:t xml:space="preserve">CPOE </w:t>
      </w:r>
      <w:r w:rsidR="00873881" w:rsidRPr="00FC7501">
        <w:t>Implementation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tblPr>
      <w:tblGrid>
        <w:gridCol w:w="2725"/>
        <w:gridCol w:w="2726"/>
        <w:gridCol w:w="3909"/>
      </w:tblGrid>
      <w:tr w:rsidR="00873881" w:rsidRPr="00FC7501" w:rsidTr="009F488B">
        <w:trPr>
          <w:jc w:val="center"/>
        </w:trPr>
        <w:tc>
          <w:tcPr>
            <w:tcW w:w="2788" w:type="dxa"/>
            <w:vAlign w:val="bottom"/>
          </w:tcPr>
          <w:p w:rsidR="00873881" w:rsidRPr="00841E65" w:rsidRDefault="00873881" w:rsidP="009F488B">
            <w:pPr>
              <w:pStyle w:val="TableHead"/>
            </w:pPr>
            <w:r w:rsidRPr="00841E65">
              <w:t>Element of Analysis</w:t>
            </w:r>
          </w:p>
        </w:tc>
        <w:tc>
          <w:tcPr>
            <w:tcW w:w="2788" w:type="dxa"/>
            <w:vAlign w:val="bottom"/>
          </w:tcPr>
          <w:p w:rsidR="00873881" w:rsidRPr="00841E65" w:rsidRDefault="00873881" w:rsidP="009F488B">
            <w:pPr>
              <w:pStyle w:val="TableHead"/>
            </w:pPr>
            <w:r w:rsidRPr="00841E65">
              <w:t>Measure(s) or Values</w:t>
            </w:r>
          </w:p>
        </w:tc>
        <w:tc>
          <w:tcPr>
            <w:tcW w:w="4000" w:type="dxa"/>
            <w:vAlign w:val="bottom"/>
          </w:tcPr>
          <w:p w:rsidR="00873881" w:rsidRPr="00841E65" w:rsidRDefault="00873881" w:rsidP="009F488B">
            <w:pPr>
              <w:pStyle w:val="TableHead"/>
            </w:pPr>
            <w:r w:rsidRPr="00841E65">
              <w:t>Description or Inclusions</w:t>
            </w:r>
          </w:p>
        </w:tc>
      </w:tr>
      <w:tr w:rsidR="00873881" w:rsidRPr="00FC7501" w:rsidTr="009F488B">
        <w:trPr>
          <w:jc w:val="center"/>
        </w:trPr>
        <w:tc>
          <w:tcPr>
            <w:tcW w:w="2788" w:type="dxa"/>
          </w:tcPr>
          <w:p w:rsidR="00873881" w:rsidRPr="00841E65" w:rsidRDefault="00873881" w:rsidP="009F488B">
            <w:pPr>
              <w:pStyle w:val="TableText"/>
            </w:pPr>
            <w:r w:rsidRPr="00841E65">
              <w:t>Costs (denominator)</w:t>
            </w:r>
          </w:p>
        </w:tc>
        <w:tc>
          <w:tcPr>
            <w:tcW w:w="2788" w:type="dxa"/>
          </w:tcPr>
          <w:p w:rsidR="00873881" w:rsidRPr="00841E65" w:rsidRDefault="00873881" w:rsidP="009F488B">
            <w:pPr>
              <w:pStyle w:val="TableText"/>
            </w:pPr>
            <w:r w:rsidRPr="00841E65">
              <w:rPr>
                <w:b/>
              </w:rPr>
              <w:t>$11.8 million</w:t>
            </w:r>
            <w:r w:rsidRPr="00841E65">
              <w:t xml:space="preserve"> total:</w:t>
            </w:r>
          </w:p>
          <w:p w:rsidR="00873881" w:rsidRPr="00841E65" w:rsidRDefault="00873881" w:rsidP="009F488B">
            <w:pPr>
              <w:pStyle w:val="TableText"/>
            </w:pPr>
            <w:r w:rsidRPr="00841E65">
              <w:t xml:space="preserve">$3.7 million in capital costs; </w:t>
            </w:r>
          </w:p>
          <w:p w:rsidR="00873881" w:rsidRPr="00841E65" w:rsidRDefault="00873881" w:rsidP="009F488B">
            <w:pPr>
              <w:pStyle w:val="TableText"/>
            </w:pPr>
            <w:r w:rsidRPr="00841E65">
              <w:t>$600,000 to $1.1 million per year in operational costs</w:t>
            </w:r>
          </w:p>
        </w:tc>
        <w:tc>
          <w:tcPr>
            <w:tcW w:w="4000" w:type="dxa"/>
          </w:tcPr>
          <w:p w:rsidR="00873881" w:rsidRPr="00841E65" w:rsidRDefault="00873881" w:rsidP="009F488B">
            <w:pPr>
              <w:pStyle w:val="TableText"/>
            </w:pPr>
            <w:r w:rsidRPr="00841E65">
              <w:t>Workstations and printers, software, network, leadership, and training</w:t>
            </w:r>
          </w:p>
        </w:tc>
      </w:tr>
      <w:tr w:rsidR="00873881" w:rsidRPr="00FC7501" w:rsidTr="009F488B">
        <w:trPr>
          <w:jc w:val="center"/>
        </w:trPr>
        <w:tc>
          <w:tcPr>
            <w:tcW w:w="2788" w:type="dxa"/>
          </w:tcPr>
          <w:p w:rsidR="00873881" w:rsidRPr="00841E65" w:rsidRDefault="00873881" w:rsidP="009F488B">
            <w:pPr>
              <w:pStyle w:val="TableText"/>
            </w:pPr>
            <w:r w:rsidRPr="00841E65">
              <w:t>Returns (numerator)</w:t>
            </w:r>
          </w:p>
        </w:tc>
        <w:tc>
          <w:tcPr>
            <w:tcW w:w="2788" w:type="dxa"/>
          </w:tcPr>
          <w:p w:rsidR="00873881" w:rsidRPr="00841E65" w:rsidRDefault="00873881" w:rsidP="009F488B">
            <w:pPr>
              <w:pStyle w:val="TableText"/>
            </w:pPr>
            <w:r w:rsidRPr="00841E65">
              <w:t>$28.5 million</w:t>
            </w:r>
          </w:p>
        </w:tc>
        <w:tc>
          <w:tcPr>
            <w:tcW w:w="4000" w:type="dxa"/>
          </w:tcPr>
          <w:p w:rsidR="00873881" w:rsidRPr="00841E65" w:rsidRDefault="00873881" w:rsidP="009F488B">
            <w:pPr>
              <w:pStyle w:val="TableText"/>
            </w:pPr>
            <w:r w:rsidRPr="00841E65">
              <w:t>Averted adverse drug events; medication cost savings; decreased laboratory test usage for redundant or unnecessary tests; improved workflow (staff and resource savings); decreased length of stay; streamlined workflow; improved information access for patients at time of discharge; decreased radiological utilization</w:t>
            </w:r>
          </w:p>
        </w:tc>
      </w:tr>
      <w:tr w:rsidR="00873881" w:rsidRPr="00FC7501" w:rsidTr="009F488B">
        <w:trPr>
          <w:jc w:val="center"/>
        </w:trPr>
        <w:tc>
          <w:tcPr>
            <w:tcW w:w="2788" w:type="dxa"/>
          </w:tcPr>
          <w:p w:rsidR="00873881" w:rsidRPr="0071180C" w:rsidRDefault="00873881" w:rsidP="009F488B">
            <w:pPr>
              <w:pStyle w:val="TableText"/>
            </w:pPr>
            <w:r w:rsidRPr="005E6A47">
              <w:t>Di</w:t>
            </w:r>
            <w:r w:rsidRPr="0071180C">
              <w:t>scount rate</w:t>
            </w:r>
          </w:p>
        </w:tc>
        <w:tc>
          <w:tcPr>
            <w:tcW w:w="2788" w:type="dxa"/>
          </w:tcPr>
          <w:p w:rsidR="00873881" w:rsidRPr="00D7572F" w:rsidRDefault="00873881" w:rsidP="009F488B">
            <w:pPr>
              <w:pStyle w:val="TableText"/>
            </w:pPr>
            <w:r w:rsidRPr="00D7572F">
              <w:t>7% annualized rate</w:t>
            </w:r>
          </w:p>
        </w:tc>
        <w:tc>
          <w:tcPr>
            <w:tcW w:w="4000" w:type="dxa"/>
          </w:tcPr>
          <w:p w:rsidR="00873881" w:rsidRPr="00D7572F" w:rsidRDefault="00873881" w:rsidP="009F488B">
            <w:pPr>
              <w:pStyle w:val="TableText"/>
            </w:pPr>
          </w:p>
        </w:tc>
      </w:tr>
      <w:tr w:rsidR="00873881" w:rsidRPr="00FC7501" w:rsidTr="009F488B">
        <w:trPr>
          <w:jc w:val="center"/>
        </w:trPr>
        <w:tc>
          <w:tcPr>
            <w:tcW w:w="2788" w:type="dxa"/>
          </w:tcPr>
          <w:p w:rsidR="00873881" w:rsidRPr="0071180C" w:rsidRDefault="00873881" w:rsidP="009F488B">
            <w:pPr>
              <w:pStyle w:val="TableText"/>
            </w:pPr>
            <w:r w:rsidRPr="005E6A47">
              <w:t>Consumer Price Index</w:t>
            </w:r>
          </w:p>
        </w:tc>
        <w:tc>
          <w:tcPr>
            <w:tcW w:w="2788" w:type="dxa"/>
          </w:tcPr>
          <w:p w:rsidR="00873881" w:rsidRPr="00D7572F" w:rsidRDefault="00873881" w:rsidP="009F488B">
            <w:pPr>
              <w:pStyle w:val="TableText"/>
            </w:pPr>
            <w:r w:rsidRPr="00D7572F">
              <w:t>Bureau of Labor Statistics’ Producer Price Index time series for General Medical and Surgical Hospitals to standardize values to a 2002 base year</w:t>
            </w:r>
          </w:p>
        </w:tc>
        <w:tc>
          <w:tcPr>
            <w:tcW w:w="4000" w:type="dxa"/>
          </w:tcPr>
          <w:p w:rsidR="00873881" w:rsidRPr="00D7572F" w:rsidRDefault="00873881" w:rsidP="009F488B">
            <w:pPr>
              <w:pStyle w:val="TableText"/>
            </w:pPr>
          </w:p>
        </w:tc>
      </w:tr>
      <w:tr w:rsidR="00873881" w:rsidRPr="00FC7501" w:rsidTr="009F488B">
        <w:trPr>
          <w:jc w:val="center"/>
        </w:trPr>
        <w:tc>
          <w:tcPr>
            <w:tcW w:w="2788" w:type="dxa"/>
          </w:tcPr>
          <w:p w:rsidR="00873881" w:rsidRPr="00D7572F" w:rsidRDefault="00873881" w:rsidP="009F488B">
            <w:pPr>
              <w:pStyle w:val="TableText"/>
            </w:pPr>
            <w:r w:rsidRPr="005E6A47">
              <w:t>Prospective Reimbursement Rate (cost</w:t>
            </w:r>
            <w:r w:rsidRPr="00D7572F">
              <w:t>-to-charge ratio)</w:t>
            </w:r>
          </w:p>
        </w:tc>
        <w:tc>
          <w:tcPr>
            <w:tcW w:w="2788" w:type="dxa"/>
          </w:tcPr>
          <w:p w:rsidR="00873881" w:rsidRPr="005E6A47" w:rsidRDefault="00873881" w:rsidP="009F488B">
            <w:pPr>
              <w:pStyle w:val="TableText"/>
            </w:pPr>
            <w:r w:rsidRPr="005E6A47">
              <w:t>80%</w:t>
            </w:r>
          </w:p>
        </w:tc>
        <w:tc>
          <w:tcPr>
            <w:tcW w:w="4000" w:type="dxa"/>
          </w:tcPr>
          <w:p w:rsidR="00873881" w:rsidRPr="005E6A47" w:rsidRDefault="00873881" w:rsidP="009F488B">
            <w:pPr>
              <w:pStyle w:val="TableText"/>
            </w:pPr>
          </w:p>
        </w:tc>
      </w:tr>
      <w:tr w:rsidR="00873881" w:rsidRPr="00FC7501" w:rsidTr="009F488B">
        <w:trPr>
          <w:jc w:val="center"/>
        </w:trPr>
        <w:tc>
          <w:tcPr>
            <w:tcW w:w="2788" w:type="dxa"/>
          </w:tcPr>
          <w:p w:rsidR="00873881" w:rsidRPr="0071180C" w:rsidRDefault="00873881" w:rsidP="009F488B">
            <w:pPr>
              <w:pStyle w:val="TableText"/>
            </w:pPr>
            <w:r w:rsidRPr="005E6A47">
              <w:t>Live date (returns)</w:t>
            </w:r>
          </w:p>
        </w:tc>
        <w:tc>
          <w:tcPr>
            <w:tcW w:w="2788" w:type="dxa"/>
          </w:tcPr>
          <w:p w:rsidR="00873881" w:rsidRPr="005E6A47" w:rsidRDefault="00873881" w:rsidP="009F488B">
            <w:pPr>
              <w:pStyle w:val="TableText"/>
            </w:pPr>
            <w:r w:rsidRPr="00D7572F">
              <w:t>First day of the month following activation of the intervention or midpoint of the year (July 1) when only annual data were available</w:t>
            </w:r>
          </w:p>
        </w:tc>
        <w:tc>
          <w:tcPr>
            <w:tcW w:w="4000" w:type="dxa"/>
          </w:tcPr>
          <w:p w:rsidR="00873881" w:rsidRPr="005E6A47" w:rsidRDefault="00873881" w:rsidP="009F488B">
            <w:pPr>
              <w:pStyle w:val="TableText"/>
            </w:pPr>
            <w:r w:rsidRPr="005E6A47">
              <w:t xml:space="preserve">This is the date when they started counting the number of cost-saving events and calculating the associated cost savings. </w:t>
            </w:r>
          </w:p>
        </w:tc>
      </w:tr>
      <w:tr w:rsidR="00873881" w:rsidRPr="00FC7501" w:rsidTr="009F488B">
        <w:trPr>
          <w:jc w:val="center"/>
        </w:trPr>
        <w:tc>
          <w:tcPr>
            <w:tcW w:w="2788" w:type="dxa"/>
          </w:tcPr>
          <w:p w:rsidR="00873881" w:rsidRPr="00D7572F" w:rsidRDefault="00873881" w:rsidP="009F488B">
            <w:pPr>
              <w:pStyle w:val="TableText"/>
            </w:pPr>
            <w:r w:rsidRPr="005E6A47">
              <w:t>Live date (start of calculating operational costs)</w:t>
            </w:r>
          </w:p>
        </w:tc>
        <w:tc>
          <w:tcPr>
            <w:tcW w:w="2788" w:type="dxa"/>
          </w:tcPr>
          <w:p w:rsidR="00873881" w:rsidRPr="00D7572F" w:rsidRDefault="00873881" w:rsidP="009F488B">
            <w:pPr>
              <w:pStyle w:val="TableText"/>
            </w:pPr>
            <w:r w:rsidRPr="00D7572F">
              <w:t>January 1, 1993</w:t>
            </w:r>
          </w:p>
        </w:tc>
        <w:tc>
          <w:tcPr>
            <w:tcW w:w="4000" w:type="dxa"/>
          </w:tcPr>
          <w:p w:rsidR="00873881" w:rsidRPr="00D7572F" w:rsidRDefault="00873881" w:rsidP="009F488B">
            <w:pPr>
              <w:pStyle w:val="TableText"/>
            </w:pPr>
            <w:r w:rsidRPr="00D7572F">
              <w:t xml:space="preserve">This is the date when the practice began to accrue operational costs. </w:t>
            </w:r>
          </w:p>
        </w:tc>
      </w:tr>
      <w:tr w:rsidR="00873881" w:rsidRPr="00FC7501" w:rsidTr="009F488B">
        <w:trPr>
          <w:jc w:val="center"/>
        </w:trPr>
        <w:tc>
          <w:tcPr>
            <w:tcW w:w="2788" w:type="dxa"/>
          </w:tcPr>
          <w:p w:rsidR="00873881" w:rsidRPr="0071180C" w:rsidRDefault="00873881" w:rsidP="009F488B">
            <w:pPr>
              <w:pStyle w:val="TableText"/>
            </w:pPr>
            <w:r w:rsidRPr="005E6A47">
              <w:t>End date</w:t>
            </w:r>
          </w:p>
        </w:tc>
        <w:tc>
          <w:tcPr>
            <w:tcW w:w="2788" w:type="dxa"/>
          </w:tcPr>
          <w:p w:rsidR="00873881" w:rsidRPr="00D7572F" w:rsidRDefault="00873881" w:rsidP="009F488B">
            <w:pPr>
              <w:pStyle w:val="TableText"/>
            </w:pPr>
            <w:r w:rsidRPr="00D7572F">
              <w:t>December 31, 2002</w:t>
            </w:r>
          </w:p>
        </w:tc>
        <w:tc>
          <w:tcPr>
            <w:tcW w:w="4000" w:type="dxa"/>
          </w:tcPr>
          <w:p w:rsidR="00873881" w:rsidRPr="00D7572F" w:rsidRDefault="00873881" w:rsidP="009F488B">
            <w:pPr>
              <w:pStyle w:val="TableText"/>
            </w:pPr>
            <w:r w:rsidRPr="00D7572F">
              <w:t xml:space="preserve">This date signifies the end of the study period. </w:t>
            </w:r>
          </w:p>
        </w:tc>
      </w:tr>
    </w:tbl>
    <w:p w:rsidR="007823D2" w:rsidRDefault="007823D2" w:rsidP="00764461">
      <w:pPr>
        <w:pStyle w:val="Heading2"/>
      </w:pPr>
    </w:p>
    <w:p w:rsidR="007823D2" w:rsidRDefault="007823D2">
      <w:pPr>
        <w:spacing w:after="0"/>
        <w:rPr>
          <w:rFonts w:ascii="Arial" w:hAnsi="Arial" w:cs="Arial"/>
          <w:b/>
          <w:bCs/>
          <w:i/>
          <w:iCs/>
          <w:sz w:val="28"/>
          <w:szCs w:val="28"/>
        </w:rPr>
      </w:pPr>
      <w:r>
        <w:br w:type="page"/>
      </w:r>
    </w:p>
    <w:p w:rsidR="00D96A0D" w:rsidRPr="00731347" w:rsidRDefault="00D96A0D" w:rsidP="00975A46">
      <w:pPr>
        <w:pStyle w:val="Heading1"/>
      </w:pPr>
      <w:r>
        <w:lastRenderedPageBreak/>
        <w:t>Other I</w:t>
      </w:r>
      <w:r w:rsidRPr="00731347">
        <w:t xml:space="preserve">nformation </w:t>
      </w:r>
      <w:r>
        <w:t>S</w:t>
      </w:r>
      <w:r w:rsidRPr="00731347">
        <w:t xml:space="preserve">ources </w:t>
      </w:r>
      <w:proofErr w:type="gramStart"/>
      <w:r w:rsidR="0099747A">
        <w:t>T</w:t>
      </w:r>
      <w:r w:rsidRPr="00731347">
        <w:t>o</w:t>
      </w:r>
      <w:proofErr w:type="gramEnd"/>
      <w:r w:rsidRPr="00731347">
        <w:t xml:space="preserve"> </w:t>
      </w:r>
      <w:r>
        <w:t>A</w:t>
      </w:r>
      <w:r w:rsidRPr="00731347">
        <w:t xml:space="preserve">ssist </w:t>
      </w:r>
      <w:r w:rsidR="00E0666F">
        <w:t>W</w:t>
      </w:r>
      <w:r w:rsidRPr="00731347">
        <w:t xml:space="preserve">ith </w:t>
      </w:r>
      <w:r>
        <w:t>C</w:t>
      </w:r>
      <w:r w:rsidRPr="00731347">
        <w:t>alculating ROI</w:t>
      </w:r>
    </w:p>
    <w:p w:rsidR="00D96A0D" w:rsidRPr="00FC7501" w:rsidRDefault="00D96A0D" w:rsidP="00764461">
      <w:pPr>
        <w:pStyle w:val="Heading3"/>
      </w:pPr>
      <w:r w:rsidRPr="00FC7501">
        <w:t>Books</w:t>
      </w:r>
    </w:p>
    <w:p w:rsidR="00D96A0D" w:rsidRPr="00FC7501" w:rsidRDefault="00D96A0D" w:rsidP="00CC3DE2">
      <w:pPr>
        <w:spacing w:after="180"/>
      </w:pPr>
      <w:r w:rsidRPr="00FC7501">
        <w:t xml:space="preserve">Drummond M, O’Brien B, </w:t>
      </w:r>
      <w:proofErr w:type="spellStart"/>
      <w:r w:rsidRPr="00FC7501">
        <w:t>Stoddart</w:t>
      </w:r>
      <w:proofErr w:type="spellEnd"/>
      <w:r w:rsidRPr="00FC7501">
        <w:t xml:space="preserve"> G, </w:t>
      </w:r>
      <w:r w:rsidR="00336CD9">
        <w:t>et al</w:t>
      </w:r>
      <w:r w:rsidRPr="00FC7501">
        <w:t xml:space="preserve">. </w:t>
      </w:r>
      <w:r w:rsidRPr="00764461">
        <w:t xml:space="preserve">Methods for the </w:t>
      </w:r>
      <w:r w:rsidR="00336CD9">
        <w:t>e</w:t>
      </w:r>
      <w:r w:rsidRPr="00764461">
        <w:t xml:space="preserve">conomic </w:t>
      </w:r>
      <w:r w:rsidR="00336CD9">
        <w:t>e</w:t>
      </w:r>
      <w:r w:rsidRPr="00764461">
        <w:t xml:space="preserve">valuation of </w:t>
      </w:r>
      <w:r w:rsidR="00336CD9">
        <w:t>h</w:t>
      </w:r>
      <w:r w:rsidRPr="00764461">
        <w:t xml:space="preserve">ealth </w:t>
      </w:r>
      <w:r w:rsidR="00336CD9">
        <w:t>c</w:t>
      </w:r>
      <w:r w:rsidRPr="00764461">
        <w:t xml:space="preserve">are </w:t>
      </w:r>
      <w:proofErr w:type="spellStart"/>
      <w:r w:rsidR="00336CD9">
        <w:t>p</w:t>
      </w:r>
      <w:r w:rsidRPr="00764461">
        <w:t>rogrammes</w:t>
      </w:r>
      <w:proofErr w:type="spellEnd"/>
      <w:r w:rsidRPr="00FC7501">
        <w:t xml:space="preserve">. 2nd </w:t>
      </w:r>
      <w:proofErr w:type="gramStart"/>
      <w:r w:rsidRPr="00FC7501">
        <w:t>ed</w:t>
      </w:r>
      <w:proofErr w:type="gramEnd"/>
      <w:r w:rsidRPr="00FC7501">
        <w:t>. New York, NY: Oxford University Press; 1997.</w:t>
      </w:r>
    </w:p>
    <w:p w:rsidR="00D96A0D" w:rsidRPr="00FC7501" w:rsidRDefault="00D96A0D" w:rsidP="00764461">
      <w:pPr>
        <w:pStyle w:val="Heading3"/>
      </w:pPr>
      <w:r w:rsidRPr="00FC7501">
        <w:t xml:space="preserve">Wage </w:t>
      </w:r>
      <w:r w:rsidR="008B3403">
        <w:t>R</w:t>
      </w:r>
      <w:r w:rsidRPr="00FC7501">
        <w:t>ates</w:t>
      </w:r>
    </w:p>
    <w:p w:rsidR="00D96A0D" w:rsidRPr="00FC7501" w:rsidRDefault="00D96A0D" w:rsidP="00CC3DE2">
      <w:pPr>
        <w:spacing w:after="180"/>
      </w:pPr>
      <w:r w:rsidRPr="00FC7501">
        <w:t xml:space="preserve">The U.S. Bureau of Labor Statistics provides information about wage rates of </w:t>
      </w:r>
      <w:r w:rsidR="00336CD9">
        <w:t xml:space="preserve">more than </w:t>
      </w:r>
      <w:r w:rsidRPr="00FC7501">
        <w:t xml:space="preserve">800 occupations in 50 </w:t>
      </w:r>
      <w:r w:rsidR="00336CD9">
        <w:t>S</w:t>
      </w:r>
      <w:r w:rsidRPr="00FC7501">
        <w:t>tates and the District of Columbia (</w:t>
      </w:r>
      <w:hyperlink r:id="rId19" w:history="1">
        <w:r w:rsidRPr="00764461">
          <w:rPr>
            <w:rStyle w:val="Hyperlink"/>
          </w:rPr>
          <w:t>http://www.bls.gov/oes/current/oessrcst.htm</w:t>
        </w:r>
      </w:hyperlink>
      <w:r w:rsidRPr="00FC7501">
        <w:t>). The information is useful for calculating personnel costs, such as doctors and nurses, which is part of the ROI analysis.</w:t>
      </w:r>
    </w:p>
    <w:p w:rsidR="00D96A0D" w:rsidRPr="00FC7501" w:rsidRDefault="00D96A0D" w:rsidP="00764461">
      <w:pPr>
        <w:pStyle w:val="Heading3"/>
      </w:pPr>
      <w:r w:rsidRPr="00FC7501">
        <w:t xml:space="preserve">Inflation </w:t>
      </w:r>
      <w:r w:rsidR="008B3403">
        <w:t>R</w:t>
      </w:r>
      <w:r w:rsidRPr="00FC7501">
        <w:t>ates</w:t>
      </w:r>
    </w:p>
    <w:p w:rsidR="00D96A0D" w:rsidRPr="00764461" w:rsidRDefault="00D96A0D" w:rsidP="00CC3DE2">
      <w:pPr>
        <w:spacing w:after="180"/>
      </w:pPr>
      <w:r w:rsidRPr="00FC7501">
        <w:t xml:space="preserve">The U.S. Bureau of Labor Statistics also provides information about inflation rates across the </w:t>
      </w:r>
      <w:r w:rsidR="008B3403">
        <w:t>N</w:t>
      </w:r>
      <w:r w:rsidRPr="00FC7501">
        <w:t>ation and over time (</w:t>
      </w:r>
      <w:hyperlink r:id="rId20" w:history="1">
        <w:r w:rsidRPr="00764461">
          <w:rPr>
            <w:rStyle w:val="Hyperlink"/>
          </w:rPr>
          <w:t>http://www.bls.gov/CPI/</w:t>
        </w:r>
      </w:hyperlink>
      <w:r w:rsidRPr="00FC7501">
        <w:t xml:space="preserve">), including price index of medical care </w:t>
      </w:r>
      <w:r w:rsidRPr="00764461">
        <w:t>(</w:t>
      </w:r>
      <w:hyperlink r:id="rId21" w:history="1">
        <w:r w:rsidRPr="00764461">
          <w:rPr>
            <w:rStyle w:val="Hyperlink"/>
          </w:rPr>
          <w:t>http://www.bls.gov/cpi/cpifact4.htm</w:t>
        </w:r>
      </w:hyperlink>
      <w:r w:rsidRPr="00764461">
        <w:t>).</w:t>
      </w:r>
    </w:p>
    <w:p w:rsidR="00D96A0D" w:rsidRPr="00FC7501" w:rsidRDefault="00D96A0D" w:rsidP="00764461">
      <w:pPr>
        <w:pStyle w:val="Heading3"/>
      </w:pPr>
      <w:r w:rsidRPr="00FC7501">
        <w:t xml:space="preserve">Pharmaceutical </w:t>
      </w:r>
      <w:r w:rsidR="008B3403">
        <w:t>P</w:t>
      </w:r>
      <w:r w:rsidRPr="00FC7501">
        <w:t>rices</w:t>
      </w:r>
    </w:p>
    <w:p w:rsidR="00D96A0D" w:rsidRPr="00076128" w:rsidRDefault="00D96A0D" w:rsidP="00CC3DE2">
      <w:pPr>
        <w:spacing w:after="180"/>
      </w:pPr>
      <w:r w:rsidRPr="00FC7501">
        <w:t xml:space="preserve">The Red Book by Thomson Reuters provides comprehensive drug product and pricing data </w:t>
      </w:r>
      <w:r w:rsidRPr="00076128">
        <w:t>(</w:t>
      </w:r>
      <w:hyperlink r:id="rId22" w:history="1">
        <w:r w:rsidR="00E0666F" w:rsidRPr="001D2FBC">
          <w:rPr>
            <w:rStyle w:val="Hyperlink"/>
          </w:rPr>
          <w:t>http://www.micromedex.com/products/redbook/database/</w:t>
        </w:r>
      </w:hyperlink>
      <w:r w:rsidRPr="00076128">
        <w:t>)</w:t>
      </w:r>
      <w:r w:rsidR="00076128">
        <w:t>.</w:t>
      </w:r>
      <w:r w:rsidR="00CC3DE2">
        <w:t>9</w:t>
      </w:r>
    </w:p>
    <w:p w:rsidR="00D96A0D" w:rsidRPr="00FC7501" w:rsidRDefault="00D96A0D" w:rsidP="00764461">
      <w:pPr>
        <w:pStyle w:val="Heading3"/>
      </w:pPr>
      <w:r w:rsidRPr="00FC7501">
        <w:t xml:space="preserve">Literature </w:t>
      </w:r>
      <w:r w:rsidR="008B3403">
        <w:t>E</w:t>
      </w:r>
      <w:r w:rsidRPr="00FC7501">
        <w:t xml:space="preserve">stimating </w:t>
      </w:r>
      <w:r w:rsidR="008B3403">
        <w:t>C</w:t>
      </w:r>
      <w:r w:rsidRPr="00FC7501">
        <w:t xml:space="preserve">osts of </w:t>
      </w:r>
      <w:r w:rsidR="008B3403">
        <w:t>M</w:t>
      </w:r>
      <w:r w:rsidRPr="00FC7501">
        <w:t xml:space="preserve">edical </w:t>
      </w:r>
      <w:r w:rsidR="008B3403">
        <w:t>E</w:t>
      </w:r>
      <w:r w:rsidRPr="00FC7501">
        <w:t>rrors</w:t>
      </w:r>
      <w:r w:rsidR="008B3403">
        <w:t xml:space="preserve"> and</w:t>
      </w:r>
      <w:r w:rsidRPr="00FC7501">
        <w:t xml:space="preserve"> </w:t>
      </w:r>
      <w:r w:rsidR="008B3403">
        <w:t>A</w:t>
      </w:r>
      <w:r w:rsidRPr="00FC7501">
        <w:t xml:space="preserve">dverse </w:t>
      </w:r>
      <w:r w:rsidR="008B3403">
        <w:t>E</w:t>
      </w:r>
      <w:r w:rsidRPr="00FC7501">
        <w:t>vents</w:t>
      </w:r>
    </w:p>
    <w:p w:rsidR="00D96A0D" w:rsidRPr="00FC7501" w:rsidRDefault="00D96A0D" w:rsidP="00CC3DE2">
      <w:pPr>
        <w:spacing w:after="180"/>
      </w:pPr>
      <w:proofErr w:type="gramStart"/>
      <w:r w:rsidRPr="00FC7501">
        <w:t>Bates DW, Spell N, Cullen DJ</w:t>
      </w:r>
      <w:r w:rsidR="008B3403">
        <w:t>,</w:t>
      </w:r>
      <w:r w:rsidRPr="00FC7501">
        <w:t xml:space="preserve"> et al.</w:t>
      </w:r>
      <w:proofErr w:type="gramEnd"/>
      <w:r w:rsidRPr="00FC7501">
        <w:t xml:space="preserve"> </w:t>
      </w:r>
      <w:proofErr w:type="gramStart"/>
      <w:r w:rsidRPr="00FC7501">
        <w:t>The cost of adverse drug events in hospitalized patients.</w:t>
      </w:r>
      <w:proofErr w:type="gramEnd"/>
      <w:r w:rsidRPr="00FC7501">
        <w:t xml:space="preserve"> </w:t>
      </w:r>
      <w:r w:rsidRPr="00764461">
        <w:t>JAMA</w:t>
      </w:r>
      <w:r w:rsidRPr="00FC7501">
        <w:t xml:space="preserve"> 1997</w:t>
      </w:r>
      <w:proofErr w:type="gramStart"/>
      <w:r w:rsidRPr="00FC7501">
        <w:t>;277:307</w:t>
      </w:r>
      <w:proofErr w:type="gramEnd"/>
      <w:r w:rsidRPr="00FC7501">
        <w:t>-11.</w:t>
      </w:r>
    </w:p>
    <w:p w:rsidR="008B3403" w:rsidRDefault="00627022" w:rsidP="00CC3DE2">
      <w:pPr>
        <w:spacing w:after="180"/>
      </w:pPr>
      <w:r w:rsidRPr="00975A46">
        <w:t>Bisho</w:t>
      </w:r>
      <w:r w:rsidR="00CC3DE2">
        <w:t xml:space="preserve">p </w:t>
      </w:r>
      <w:r w:rsidRPr="00627022">
        <w:t>CE</w:t>
      </w:r>
      <w:r w:rsidR="008B3403" w:rsidRPr="00627022">
        <w:t xml:space="preserve">, </w:t>
      </w:r>
      <w:proofErr w:type="spellStart"/>
      <w:r w:rsidRPr="00627022">
        <w:t>Gilden</w:t>
      </w:r>
      <w:proofErr w:type="spellEnd"/>
      <w:r w:rsidRPr="00627022">
        <w:t xml:space="preserve"> D</w:t>
      </w:r>
      <w:r w:rsidR="008B3403" w:rsidRPr="00627022">
        <w:t xml:space="preserve">, </w:t>
      </w:r>
      <w:proofErr w:type="spellStart"/>
      <w:proofErr w:type="gramStart"/>
      <w:r w:rsidRPr="00975A46">
        <w:t>Blom</w:t>
      </w:r>
      <w:proofErr w:type="spellEnd"/>
      <w:proofErr w:type="gramEnd"/>
      <w:r w:rsidRPr="00627022">
        <w:t xml:space="preserve"> J</w:t>
      </w:r>
      <w:r w:rsidR="008B3403" w:rsidRPr="00627022">
        <w:t xml:space="preserve">, </w:t>
      </w:r>
      <w:r w:rsidRPr="00627022">
        <w:t>et al</w:t>
      </w:r>
      <w:r w:rsidR="008B3403" w:rsidRPr="00627022">
        <w:t>.</w:t>
      </w:r>
      <w:r w:rsidRPr="00627022">
        <w:t xml:space="preserve"> Medicare spending for injured elders: are there opportunities for savings? </w:t>
      </w:r>
      <w:proofErr w:type="gramStart"/>
      <w:r w:rsidRPr="0089042E">
        <w:t xml:space="preserve">Health </w:t>
      </w:r>
      <w:proofErr w:type="spellStart"/>
      <w:r w:rsidRPr="0089042E">
        <w:t>Aff</w:t>
      </w:r>
      <w:proofErr w:type="spellEnd"/>
      <w:r w:rsidRPr="0089042E">
        <w:t xml:space="preserve"> (Millwood).</w:t>
      </w:r>
      <w:proofErr w:type="gramEnd"/>
      <w:r w:rsidRPr="00627022">
        <w:t xml:space="preserve"> 2002 Nov-Dec</w:t>
      </w:r>
      <w:proofErr w:type="gramStart"/>
      <w:r w:rsidRPr="00627022">
        <w:t>;21</w:t>
      </w:r>
      <w:proofErr w:type="gramEnd"/>
      <w:r w:rsidRPr="00627022">
        <w:t>(6):215-23.</w:t>
      </w:r>
    </w:p>
    <w:p w:rsidR="00D96A0D" w:rsidRPr="00FC7501" w:rsidRDefault="00D96A0D" w:rsidP="00CC3DE2">
      <w:pPr>
        <w:spacing w:after="180"/>
      </w:pPr>
      <w:proofErr w:type="gramStart"/>
      <w:r w:rsidRPr="00FC7501">
        <w:t>Chen LM, Rein MS, Bates DW.</w:t>
      </w:r>
      <w:proofErr w:type="gramEnd"/>
      <w:r w:rsidRPr="00FC7501">
        <w:t xml:space="preserve"> </w:t>
      </w:r>
      <w:r w:rsidRPr="00FC7501">
        <w:rPr>
          <w:bCs/>
        </w:rPr>
        <w:t xml:space="preserve">Costs of quality improvement: a survey </w:t>
      </w:r>
      <w:bookmarkStart w:id="0" w:name="_GoBack"/>
      <w:bookmarkEnd w:id="0"/>
      <w:r w:rsidRPr="00FC7501">
        <w:rPr>
          <w:bCs/>
        </w:rPr>
        <w:t xml:space="preserve">of four acute care hospitals. </w:t>
      </w:r>
      <w:proofErr w:type="spellStart"/>
      <w:r w:rsidRPr="00764461">
        <w:rPr>
          <w:bCs/>
        </w:rPr>
        <w:t>Jt</w:t>
      </w:r>
      <w:proofErr w:type="spellEnd"/>
      <w:r w:rsidRPr="00764461">
        <w:rPr>
          <w:bCs/>
        </w:rPr>
        <w:t xml:space="preserve"> </w:t>
      </w:r>
      <w:proofErr w:type="spellStart"/>
      <w:r w:rsidRPr="00764461">
        <w:t>Comm</w:t>
      </w:r>
      <w:proofErr w:type="spellEnd"/>
      <w:r w:rsidRPr="00764461">
        <w:t xml:space="preserve"> J </w:t>
      </w:r>
      <w:proofErr w:type="spellStart"/>
      <w:r w:rsidRPr="00764461">
        <w:t>Qual</w:t>
      </w:r>
      <w:proofErr w:type="spellEnd"/>
      <w:r w:rsidRPr="00764461">
        <w:t xml:space="preserve"> Patient </w:t>
      </w:r>
      <w:proofErr w:type="spellStart"/>
      <w:r w:rsidRPr="00764461">
        <w:t>Saf</w:t>
      </w:r>
      <w:proofErr w:type="spellEnd"/>
      <w:r w:rsidRPr="00FC7501">
        <w:t xml:space="preserve"> 2009 Nov</w:t>
      </w:r>
      <w:proofErr w:type="gramStart"/>
      <w:r w:rsidRPr="00FC7501">
        <w:t>;35</w:t>
      </w:r>
      <w:proofErr w:type="gramEnd"/>
      <w:r w:rsidRPr="00FC7501">
        <w:t>(11):544-50.</w:t>
      </w:r>
    </w:p>
    <w:p w:rsidR="00764461" w:rsidRPr="00E81BDA" w:rsidRDefault="00D96A0D" w:rsidP="00CC3DE2">
      <w:pPr>
        <w:spacing w:after="180"/>
        <w:rPr>
          <w:color w:val="000000"/>
        </w:rPr>
      </w:pPr>
      <w:proofErr w:type="spellStart"/>
      <w:r w:rsidRPr="00FC7501">
        <w:t>Classen</w:t>
      </w:r>
      <w:proofErr w:type="spellEnd"/>
      <w:r w:rsidRPr="00FC7501">
        <w:t xml:space="preserve"> DC, </w:t>
      </w:r>
      <w:proofErr w:type="spellStart"/>
      <w:r w:rsidRPr="00FC7501">
        <w:t>Pestotnik</w:t>
      </w:r>
      <w:proofErr w:type="spellEnd"/>
      <w:r w:rsidRPr="00FC7501">
        <w:t xml:space="preserve"> SL, Evans RS</w:t>
      </w:r>
      <w:r w:rsidR="008B3403">
        <w:t>,</w:t>
      </w:r>
      <w:r w:rsidRPr="00FC7501">
        <w:t xml:space="preserve"> et al. Adverse drug events in hospitalized patients: excess length of stay, extra costs</w:t>
      </w:r>
      <w:r w:rsidR="00975A46">
        <w:t>,</w:t>
      </w:r>
      <w:r w:rsidRPr="00FC7501">
        <w:t xml:space="preserve"> and </w:t>
      </w:r>
      <w:proofErr w:type="gramStart"/>
      <w:r w:rsidRPr="00FC7501">
        <w:t>attributable</w:t>
      </w:r>
      <w:proofErr w:type="gramEnd"/>
      <w:r w:rsidRPr="00FC7501">
        <w:t xml:space="preserve"> mortality. </w:t>
      </w:r>
      <w:r w:rsidRPr="00764461">
        <w:t>JAMA</w:t>
      </w:r>
      <w:r w:rsidRPr="008B3403">
        <w:t xml:space="preserve"> </w:t>
      </w:r>
      <w:r w:rsidRPr="00FC7501">
        <w:t>1997</w:t>
      </w:r>
      <w:proofErr w:type="gramStart"/>
      <w:r w:rsidRPr="00FC7501">
        <w:t>;277:301</w:t>
      </w:r>
      <w:proofErr w:type="gramEnd"/>
      <w:r w:rsidRPr="00FC7501">
        <w:t>-6.</w:t>
      </w:r>
    </w:p>
    <w:p w:rsidR="00D96A0D" w:rsidRPr="00FC7501" w:rsidRDefault="00D96A0D" w:rsidP="00CC3DE2">
      <w:pPr>
        <w:spacing w:after="180"/>
      </w:pPr>
      <w:proofErr w:type="spellStart"/>
      <w:r w:rsidRPr="00FC7501">
        <w:t>Kaushal</w:t>
      </w:r>
      <w:proofErr w:type="spellEnd"/>
      <w:r w:rsidRPr="00FC7501">
        <w:t xml:space="preserve"> R, Bates DW, Franz C</w:t>
      </w:r>
      <w:r w:rsidR="00627022">
        <w:t>,</w:t>
      </w:r>
      <w:r w:rsidRPr="00FC7501">
        <w:t xml:space="preserve"> et al. Costs of adverse events in intensive care units. </w:t>
      </w:r>
      <w:proofErr w:type="spellStart"/>
      <w:r w:rsidRPr="00764461">
        <w:t>Crit</w:t>
      </w:r>
      <w:proofErr w:type="spellEnd"/>
      <w:r w:rsidRPr="00764461">
        <w:t xml:space="preserve"> Care Med</w:t>
      </w:r>
      <w:r w:rsidRPr="00FC7501">
        <w:t xml:space="preserve"> 2007</w:t>
      </w:r>
      <w:proofErr w:type="gramStart"/>
      <w:r w:rsidRPr="00FC7501">
        <w:t>;35</w:t>
      </w:r>
      <w:proofErr w:type="gramEnd"/>
      <w:r w:rsidRPr="00FC7501">
        <w:t>(11)2637-8.</w:t>
      </w:r>
    </w:p>
    <w:p w:rsidR="00BB2F6E" w:rsidRPr="00FC7501" w:rsidRDefault="00BB2F6E" w:rsidP="00BB2F6E">
      <w:pPr>
        <w:pStyle w:val="EndnoteText"/>
      </w:pPr>
      <w:r w:rsidRPr="00FC7501">
        <w:t xml:space="preserve">Pappas SH. </w:t>
      </w:r>
      <w:proofErr w:type="gramStart"/>
      <w:r w:rsidRPr="00FC7501">
        <w:t>The cost of nurse-sensitive adverse events.</w:t>
      </w:r>
      <w:proofErr w:type="gramEnd"/>
      <w:r w:rsidRPr="00FC7501">
        <w:t xml:space="preserve"> </w:t>
      </w:r>
      <w:r w:rsidRPr="00764461">
        <w:t xml:space="preserve">J </w:t>
      </w:r>
      <w:proofErr w:type="spellStart"/>
      <w:r w:rsidRPr="00764461">
        <w:t>Nurs</w:t>
      </w:r>
      <w:proofErr w:type="spellEnd"/>
      <w:r w:rsidRPr="00764461">
        <w:t xml:space="preserve"> </w:t>
      </w:r>
      <w:proofErr w:type="spellStart"/>
      <w:r w:rsidRPr="00764461">
        <w:t>Adm</w:t>
      </w:r>
      <w:proofErr w:type="spellEnd"/>
      <w:r w:rsidRPr="00FC7501">
        <w:t xml:space="preserve"> 2008</w:t>
      </w:r>
      <w:proofErr w:type="gramStart"/>
      <w:r w:rsidRPr="00FC7501">
        <w:t>;38</w:t>
      </w:r>
      <w:proofErr w:type="gramEnd"/>
      <w:r w:rsidRPr="00FC7501">
        <w:t>(5):230-6.</w:t>
      </w:r>
    </w:p>
    <w:p w:rsidR="00BB2F6E" w:rsidRPr="00FC7501" w:rsidRDefault="00BB2F6E" w:rsidP="00BB2F6E">
      <w:pPr>
        <w:pStyle w:val="EndnoteText"/>
      </w:pPr>
      <w:proofErr w:type="spellStart"/>
      <w:r w:rsidRPr="00FC7501">
        <w:rPr>
          <w:rFonts w:eastAsia="SimSun"/>
          <w:lang w:eastAsia="zh-CN"/>
        </w:rPr>
        <w:t>Rivard</w:t>
      </w:r>
      <w:proofErr w:type="spellEnd"/>
      <w:r w:rsidRPr="00FC7501">
        <w:rPr>
          <w:rFonts w:eastAsia="SimSun"/>
          <w:lang w:eastAsia="zh-CN"/>
        </w:rPr>
        <w:t xml:space="preserve"> PE, Luther SL, Christiansen CL, et al. Using </w:t>
      </w:r>
      <w:r>
        <w:rPr>
          <w:rFonts w:eastAsia="SimSun"/>
          <w:lang w:eastAsia="zh-CN"/>
        </w:rPr>
        <w:t>p</w:t>
      </w:r>
      <w:r w:rsidRPr="00FC7501">
        <w:rPr>
          <w:rFonts w:eastAsia="SimSun"/>
          <w:lang w:eastAsia="zh-CN"/>
        </w:rPr>
        <w:t xml:space="preserve">atient </w:t>
      </w:r>
      <w:r>
        <w:rPr>
          <w:rFonts w:eastAsia="SimSun"/>
          <w:lang w:eastAsia="zh-CN"/>
        </w:rPr>
        <w:t>s</w:t>
      </w:r>
      <w:r w:rsidRPr="00FC7501">
        <w:rPr>
          <w:rFonts w:eastAsia="SimSun"/>
          <w:lang w:eastAsia="zh-CN"/>
        </w:rPr>
        <w:t xml:space="preserve">afety </w:t>
      </w:r>
      <w:r>
        <w:rPr>
          <w:rFonts w:eastAsia="SimSun"/>
          <w:lang w:eastAsia="zh-CN"/>
        </w:rPr>
        <w:t>i</w:t>
      </w:r>
      <w:r w:rsidRPr="00FC7501">
        <w:rPr>
          <w:rFonts w:eastAsia="SimSun"/>
          <w:lang w:eastAsia="zh-CN"/>
        </w:rPr>
        <w:t xml:space="preserve">ndicators to </w:t>
      </w:r>
      <w:r>
        <w:rPr>
          <w:rFonts w:eastAsia="SimSun"/>
          <w:lang w:eastAsia="zh-CN"/>
        </w:rPr>
        <w:t>e</w:t>
      </w:r>
      <w:r w:rsidRPr="00FC7501">
        <w:rPr>
          <w:rFonts w:eastAsia="SimSun"/>
          <w:lang w:eastAsia="zh-CN"/>
        </w:rPr>
        <w:t xml:space="preserve">stimate the </w:t>
      </w:r>
      <w:r>
        <w:rPr>
          <w:rFonts w:eastAsia="SimSun"/>
          <w:lang w:eastAsia="zh-CN"/>
        </w:rPr>
        <w:t>i</w:t>
      </w:r>
      <w:r w:rsidRPr="00FC7501">
        <w:rPr>
          <w:rFonts w:eastAsia="SimSun"/>
          <w:lang w:eastAsia="zh-CN"/>
        </w:rPr>
        <w:t xml:space="preserve">mpact of </w:t>
      </w:r>
      <w:r>
        <w:rPr>
          <w:rFonts w:eastAsia="SimSun"/>
          <w:lang w:eastAsia="zh-CN"/>
        </w:rPr>
        <w:t>p</w:t>
      </w:r>
      <w:r w:rsidRPr="00FC7501">
        <w:rPr>
          <w:rFonts w:eastAsia="SimSun"/>
          <w:lang w:eastAsia="zh-CN"/>
        </w:rPr>
        <w:t xml:space="preserve">otential </w:t>
      </w:r>
      <w:r>
        <w:rPr>
          <w:rFonts w:eastAsia="SimSun"/>
          <w:lang w:eastAsia="zh-CN"/>
        </w:rPr>
        <w:t>a</w:t>
      </w:r>
      <w:r w:rsidRPr="00FC7501">
        <w:rPr>
          <w:rFonts w:eastAsia="SimSun"/>
          <w:lang w:eastAsia="zh-CN"/>
        </w:rPr>
        <w:t xml:space="preserve">dverse </w:t>
      </w:r>
      <w:r>
        <w:rPr>
          <w:rFonts w:eastAsia="SimSun"/>
          <w:lang w:eastAsia="zh-CN"/>
        </w:rPr>
        <w:t>e</w:t>
      </w:r>
      <w:r w:rsidRPr="00FC7501">
        <w:rPr>
          <w:rFonts w:eastAsia="SimSun"/>
          <w:lang w:eastAsia="zh-CN"/>
        </w:rPr>
        <w:t xml:space="preserve">vents on </w:t>
      </w:r>
      <w:r>
        <w:rPr>
          <w:rFonts w:eastAsia="SimSun"/>
          <w:lang w:eastAsia="zh-CN"/>
        </w:rPr>
        <w:t>o</w:t>
      </w:r>
      <w:r w:rsidRPr="00FC7501">
        <w:rPr>
          <w:rFonts w:eastAsia="SimSun"/>
          <w:lang w:eastAsia="zh-CN"/>
        </w:rPr>
        <w:t xml:space="preserve">utcomes. </w:t>
      </w:r>
      <w:r w:rsidRPr="00764461">
        <w:rPr>
          <w:rFonts w:eastAsia="SimSun"/>
          <w:iCs/>
          <w:lang w:eastAsia="zh-CN"/>
        </w:rPr>
        <w:t>Med Care Res Rev</w:t>
      </w:r>
      <w:r w:rsidRPr="00FC7501">
        <w:rPr>
          <w:rFonts w:eastAsia="SimSun"/>
          <w:i/>
          <w:iCs/>
          <w:lang w:eastAsia="zh-CN"/>
        </w:rPr>
        <w:t xml:space="preserve"> </w:t>
      </w:r>
      <w:r w:rsidRPr="00FC7501">
        <w:rPr>
          <w:rFonts w:eastAsia="SimSun"/>
          <w:lang w:eastAsia="zh-CN"/>
        </w:rPr>
        <w:t>2008</w:t>
      </w:r>
      <w:proofErr w:type="gramStart"/>
      <w:r w:rsidRPr="00FC7501">
        <w:rPr>
          <w:rFonts w:eastAsia="SimSun"/>
          <w:lang w:eastAsia="zh-CN"/>
        </w:rPr>
        <w:t>;65:67</w:t>
      </w:r>
      <w:proofErr w:type="gramEnd"/>
      <w:r w:rsidRPr="00FC7501">
        <w:rPr>
          <w:rFonts w:eastAsia="SimSun"/>
          <w:lang w:eastAsia="zh-CN"/>
        </w:rPr>
        <w:t>-87.</w:t>
      </w:r>
    </w:p>
    <w:p w:rsidR="00BB2F6E" w:rsidRPr="00FC7501" w:rsidRDefault="00BB2F6E" w:rsidP="00BB2F6E">
      <w:pPr>
        <w:pStyle w:val="EndnoteText"/>
      </w:pPr>
      <w:r w:rsidRPr="00FC7501">
        <w:t xml:space="preserve">Rothschild JM, Bates DW, Franz C, </w:t>
      </w:r>
      <w:r>
        <w:t>et al</w:t>
      </w:r>
      <w:r w:rsidRPr="00FC7501">
        <w:t xml:space="preserve">. The costs and savings associated with prevention of adverse events by critical care nurses. </w:t>
      </w:r>
      <w:r w:rsidRPr="00764461">
        <w:t xml:space="preserve">J </w:t>
      </w:r>
      <w:proofErr w:type="spellStart"/>
      <w:r w:rsidRPr="00764461">
        <w:t>Crit</w:t>
      </w:r>
      <w:proofErr w:type="spellEnd"/>
      <w:r w:rsidRPr="00764461">
        <w:t xml:space="preserve"> Care</w:t>
      </w:r>
      <w:r w:rsidRPr="00FC7501">
        <w:t xml:space="preserve"> 2009 Sep</w:t>
      </w:r>
      <w:proofErr w:type="gramStart"/>
      <w:r w:rsidRPr="00FC7501">
        <w:t>;24</w:t>
      </w:r>
      <w:proofErr w:type="gramEnd"/>
      <w:r w:rsidRPr="00FC7501">
        <w:t xml:space="preserve">(3):471.e1-7. </w:t>
      </w:r>
    </w:p>
    <w:p w:rsidR="00BB2F6E" w:rsidRPr="0089042E" w:rsidRDefault="00BB2F6E" w:rsidP="00BB2F6E">
      <w:pPr>
        <w:pStyle w:val="EndnoteText"/>
      </w:pPr>
      <w:proofErr w:type="spellStart"/>
      <w:r>
        <w:t>Swensen</w:t>
      </w:r>
      <w:proofErr w:type="spellEnd"/>
      <w:r>
        <w:t xml:space="preserve">, SJ, </w:t>
      </w:r>
      <w:proofErr w:type="spellStart"/>
      <w:r>
        <w:t>Dilling</w:t>
      </w:r>
      <w:proofErr w:type="spellEnd"/>
      <w:r>
        <w:t xml:space="preserve">, JA, McCarty, PM et al. </w:t>
      </w:r>
      <w:proofErr w:type="gramStart"/>
      <w:r w:rsidRPr="0089042E">
        <w:t xml:space="preserve">The </w:t>
      </w:r>
      <w:r>
        <w:t>b</w:t>
      </w:r>
      <w:r w:rsidRPr="0089042E">
        <w:t xml:space="preserve">usiness </w:t>
      </w:r>
      <w:r>
        <w:t>c</w:t>
      </w:r>
      <w:r w:rsidRPr="0089042E">
        <w:t xml:space="preserve">ase for </w:t>
      </w:r>
      <w:r>
        <w:t>h</w:t>
      </w:r>
      <w:r w:rsidRPr="0089042E">
        <w:t>ealth</w:t>
      </w:r>
      <w:r>
        <w:t xml:space="preserve"> c</w:t>
      </w:r>
      <w:r w:rsidRPr="0089042E">
        <w:t xml:space="preserve">are </w:t>
      </w:r>
      <w:r>
        <w:t>q</w:t>
      </w:r>
      <w:r w:rsidRPr="0089042E">
        <w:t xml:space="preserve">uality </w:t>
      </w:r>
      <w:r>
        <w:t>i</w:t>
      </w:r>
      <w:r w:rsidRPr="0089042E">
        <w:t>mprovement.</w:t>
      </w:r>
      <w:proofErr w:type="gramEnd"/>
      <w:r w:rsidRPr="0089042E">
        <w:t xml:space="preserve"> J Pat </w:t>
      </w:r>
      <w:proofErr w:type="spellStart"/>
      <w:r w:rsidRPr="0089042E">
        <w:t>Saf</w:t>
      </w:r>
      <w:proofErr w:type="spellEnd"/>
      <w:r w:rsidRPr="0089042E">
        <w:t xml:space="preserve"> </w:t>
      </w:r>
      <w:r>
        <w:t>2013 Mar</w:t>
      </w:r>
      <w:proofErr w:type="gramStart"/>
      <w:r>
        <w:t>;9</w:t>
      </w:r>
      <w:proofErr w:type="gramEnd"/>
      <w:r>
        <w:t>(1):44-52.</w:t>
      </w:r>
    </w:p>
    <w:p w:rsidR="002F7A24" w:rsidRPr="00FC7501" w:rsidRDefault="00BB2F6E" w:rsidP="00CC3DE2">
      <w:pPr>
        <w:spacing w:after="180"/>
      </w:pPr>
      <w:r w:rsidRPr="00FC7501">
        <w:rPr>
          <w:rFonts w:eastAsia="SimSun"/>
          <w:lang w:eastAsia="zh-CN"/>
        </w:rPr>
        <w:t xml:space="preserve">Zhan C, Miller MR. Excess </w:t>
      </w:r>
      <w:r>
        <w:rPr>
          <w:rFonts w:eastAsia="SimSun"/>
          <w:lang w:eastAsia="zh-CN"/>
        </w:rPr>
        <w:t>l</w:t>
      </w:r>
      <w:r w:rsidRPr="00FC7501">
        <w:rPr>
          <w:rFonts w:eastAsia="SimSun"/>
          <w:lang w:eastAsia="zh-CN"/>
        </w:rPr>
        <w:t xml:space="preserve">ength of </w:t>
      </w:r>
      <w:r>
        <w:rPr>
          <w:rFonts w:eastAsia="SimSun"/>
          <w:lang w:eastAsia="zh-CN"/>
        </w:rPr>
        <w:t>s</w:t>
      </w:r>
      <w:r w:rsidRPr="00FC7501">
        <w:rPr>
          <w:rFonts w:eastAsia="SimSun"/>
          <w:lang w:eastAsia="zh-CN"/>
        </w:rPr>
        <w:t xml:space="preserve">tay, </w:t>
      </w:r>
      <w:r>
        <w:rPr>
          <w:rFonts w:eastAsia="SimSun"/>
          <w:lang w:eastAsia="zh-CN"/>
        </w:rPr>
        <w:t>c</w:t>
      </w:r>
      <w:r w:rsidRPr="00FC7501">
        <w:rPr>
          <w:rFonts w:eastAsia="SimSun"/>
          <w:lang w:eastAsia="zh-CN"/>
        </w:rPr>
        <w:t xml:space="preserve">harges, and </w:t>
      </w:r>
      <w:r>
        <w:rPr>
          <w:rFonts w:eastAsia="SimSun"/>
          <w:lang w:eastAsia="zh-CN"/>
        </w:rPr>
        <w:t>m</w:t>
      </w:r>
      <w:r w:rsidRPr="00FC7501">
        <w:rPr>
          <w:rFonts w:eastAsia="SimSun"/>
          <w:lang w:eastAsia="zh-CN"/>
        </w:rPr>
        <w:t xml:space="preserve">ortality </w:t>
      </w:r>
      <w:r>
        <w:rPr>
          <w:rFonts w:eastAsia="SimSun"/>
          <w:lang w:eastAsia="zh-CN"/>
        </w:rPr>
        <w:t>a</w:t>
      </w:r>
      <w:r w:rsidRPr="00FC7501">
        <w:rPr>
          <w:rFonts w:eastAsia="SimSun"/>
          <w:lang w:eastAsia="zh-CN"/>
        </w:rPr>
        <w:t xml:space="preserve">ttributable to </w:t>
      </w:r>
      <w:r>
        <w:rPr>
          <w:rFonts w:eastAsia="SimSun"/>
          <w:lang w:eastAsia="zh-CN"/>
        </w:rPr>
        <w:t>m</w:t>
      </w:r>
      <w:r w:rsidRPr="00FC7501">
        <w:rPr>
          <w:rFonts w:eastAsia="SimSun"/>
          <w:lang w:eastAsia="zh-CN"/>
        </w:rPr>
        <w:t xml:space="preserve">edical </w:t>
      </w:r>
      <w:r>
        <w:rPr>
          <w:rFonts w:eastAsia="SimSun"/>
          <w:lang w:eastAsia="zh-CN"/>
        </w:rPr>
        <w:t>i</w:t>
      </w:r>
      <w:r w:rsidRPr="00FC7501">
        <w:rPr>
          <w:rFonts w:eastAsia="SimSun"/>
          <w:lang w:eastAsia="zh-CN"/>
        </w:rPr>
        <w:t xml:space="preserve">njuries </w:t>
      </w:r>
      <w:r>
        <w:rPr>
          <w:rFonts w:eastAsia="SimSun"/>
          <w:lang w:eastAsia="zh-CN"/>
        </w:rPr>
        <w:t>d</w:t>
      </w:r>
      <w:r w:rsidRPr="00FC7501">
        <w:rPr>
          <w:rFonts w:eastAsia="SimSun"/>
          <w:lang w:eastAsia="zh-CN"/>
        </w:rPr>
        <w:t xml:space="preserve">uring </w:t>
      </w:r>
      <w:r>
        <w:rPr>
          <w:rFonts w:eastAsia="SimSun"/>
          <w:lang w:eastAsia="zh-CN"/>
        </w:rPr>
        <w:t>h</w:t>
      </w:r>
      <w:r w:rsidRPr="00FC7501">
        <w:rPr>
          <w:rFonts w:eastAsia="SimSun"/>
          <w:lang w:eastAsia="zh-CN"/>
        </w:rPr>
        <w:t xml:space="preserve">ospitalization. </w:t>
      </w:r>
      <w:r>
        <w:rPr>
          <w:rFonts w:eastAsia="SimSun"/>
          <w:lang w:eastAsia="zh-CN"/>
        </w:rPr>
        <w:t>JAMA</w:t>
      </w:r>
      <w:r w:rsidRPr="00FC7501">
        <w:rPr>
          <w:rFonts w:eastAsia="SimSun"/>
          <w:i/>
          <w:iCs/>
          <w:lang w:eastAsia="zh-CN"/>
        </w:rPr>
        <w:t xml:space="preserve"> </w:t>
      </w:r>
      <w:r w:rsidRPr="00FC7501">
        <w:rPr>
          <w:rFonts w:eastAsia="SimSun"/>
          <w:lang w:eastAsia="zh-CN"/>
        </w:rPr>
        <w:t>2003</w:t>
      </w:r>
      <w:proofErr w:type="gramStart"/>
      <w:r w:rsidRPr="00FC7501">
        <w:rPr>
          <w:rFonts w:eastAsia="SimSun"/>
          <w:lang w:eastAsia="zh-CN"/>
        </w:rPr>
        <w:t>;290:1868</w:t>
      </w:r>
      <w:proofErr w:type="gramEnd"/>
      <w:r w:rsidRPr="00FC7501">
        <w:rPr>
          <w:rFonts w:eastAsia="SimSun"/>
          <w:lang w:eastAsia="zh-CN"/>
        </w:rPr>
        <w:t>-74.</w:t>
      </w:r>
    </w:p>
    <w:p w:rsidR="001D2EC4" w:rsidRPr="00FC7501" w:rsidRDefault="001D2EC4" w:rsidP="00BB2F6E">
      <w:pPr>
        <w:pStyle w:val="Heading1"/>
      </w:pPr>
      <w:r>
        <w:br w:type="page"/>
      </w:r>
      <w:r w:rsidRPr="00BB2F6E">
        <w:lastRenderedPageBreak/>
        <w:t>Appendix I.</w:t>
      </w:r>
      <w:r w:rsidR="0089042E" w:rsidRPr="00BB2F6E">
        <w:t xml:space="preserve"> </w:t>
      </w:r>
      <w:r w:rsidRPr="00FC7501">
        <w:t>Components of Implementation Costs</w:t>
      </w:r>
    </w:p>
    <w:p w:rsidR="001D2EC4" w:rsidRPr="00FC7501" w:rsidRDefault="001D2EC4" w:rsidP="00764461">
      <w:pPr>
        <w:pStyle w:val="Heading3"/>
      </w:pPr>
      <w:r w:rsidRPr="00FC7501">
        <w:t xml:space="preserve">Stages of </w:t>
      </w:r>
      <w:r w:rsidR="00C91C0D" w:rsidRPr="00FC7501">
        <w:t>Improvement Action</w:t>
      </w:r>
      <w:r w:rsidRPr="00FC7501">
        <w:t xml:space="preserve"> Implementation</w:t>
      </w:r>
    </w:p>
    <w:p w:rsidR="001D2EC4" w:rsidRPr="00FC7501" w:rsidRDefault="001D2EC4" w:rsidP="00076128">
      <w:r w:rsidRPr="00FC7501">
        <w:t xml:space="preserve">Implementation of improvement </w:t>
      </w:r>
      <w:r w:rsidR="00D50873" w:rsidRPr="00FC7501">
        <w:t>action</w:t>
      </w:r>
      <w:r w:rsidR="009C414E" w:rsidRPr="00FC7501">
        <w:t>s</w:t>
      </w:r>
      <w:r w:rsidR="00D50873" w:rsidRPr="00FC7501">
        <w:t xml:space="preserve"> </w:t>
      </w:r>
      <w:r w:rsidRPr="00FC7501">
        <w:t>may be divided into the following stages:</w:t>
      </w:r>
    </w:p>
    <w:p w:rsidR="001D2EC4" w:rsidRPr="00FC7501" w:rsidRDefault="001D2EC4" w:rsidP="00764461">
      <w:pPr>
        <w:pStyle w:val="ListBullet2"/>
      </w:pPr>
      <w:r w:rsidRPr="00764461">
        <w:rPr>
          <w:b/>
        </w:rPr>
        <w:t>Planning and program development.</w:t>
      </w:r>
      <w:r w:rsidRPr="00FC7501">
        <w:t xml:space="preserve"> This is the first stage of any program. Right from the start, the hospital needs to spend money on planning and program development activities, such as </w:t>
      </w:r>
      <w:r w:rsidR="004F271D">
        <w:t xml:space="preserve">conducting </w:t>
      </w:r>
      <w:r w:rsidRPr="00FC7501">
        <w:t>situation</w:t>
      </w:r>
      <w:r w:rsidR="004F271D">
        <w:t>al</w:t>
      </w:r>
      <w:r w:rsidRPr="00FC7501">
        <w:t xml:space="preserve"> analysis, </w:t>
      </w:r>
      <w:r w:rsidR="004F271D">
        <w:t xml:space="preserve">searching the </w:t>
      </w:r>
      <w:r w:rsidRPr="00FC7501">
        <w:t>literature, identif</w:t>
      </w:r>
      <w:r w:rsidR="004F271D">
        <w:t>ying</w:t>
      </w:r>
      <w:r w:rsidRPr="00FC7501">
        <w:t xml:space="preserve"> target areas and populations for the quality improvement program, assembling a team to work on the program, purchasing equipment, and setting up an information system. </w:t>
      </w:r>
    </w:p>
    <w:p w:rsidR="001D2EC4" w:rsidRPr="00FC7501" w:rsidRDefault="001D2EC4" w:rsidP="00764461">
      <w:pPr>
        <w:pStyle w:val="ListBullet2"/>
      </w:pPr>
      <w:r w:rsidRPr="00764461">
        <w:rPr>
          <w:b/>
        </w:rPr>
        <w:t>Training.</w:t>
      </w:r>
      <w:r w:rsidR="00381E52">
        <w:t xml:space="preserve"> </w:t>
      </w:r>
      <w:r w:rsidRPr="00FC7501">
        <w:t>Some training sessions may be part of planning and program development while other training sessions may happen in later stage</w:t>
      </w:r>
      <w:r w:rsidR="00BB2F6E">
        <w:t>s</w:t>
      </w:r>
      <w:r w:rsidRPr="00FC7501">
        <w:t xml:space="preserve"> of program implementation.</w:t>
      </w:r>
      <w:r w:rsidR="00381E52">
        <w:t xml:space="preserve"> </w:t>
      </w:r>
      <w:r w:rsidRPr="00FC7501">
        <w:t>It is also common to have training sessions during the</w:t>
      </w:r>
      <w:r w:rsidR="007F039A" w:rsidRPr="00FC7501">
        <w:t xml:space="preserve"> implementation</w:t>
      </w:r>
      <w:r w:rsidRPr="00FC7501">
        <w:t xml:space="preserve"> process to refresh the </w:t>
      </w:r>
      <w:r w:rsidR="00E167BF" w:rsidRPr="00FC7501">
        <w:t xml:space="preserve">knowledge or skills </w:t>
      </w:r>
      <w:r w:rsidR="00E167BF">
        <w:t xml:space="preserve">of </w:t>
      </w:r>
      <w:r w:rsidRPr="00FC7501">
        <w:t>hospital staff</w:t>
      </w:r>
      <w:r w:rsidR="006E6E06">
        <w:t xml:space="preserve"> members</w:t>
      </w:r>
      <w:r w:rsidRPr="00FC7501">
        <w:t>.</w:t>
      </w:r>
      <w:r w:rsidR="00381E52">
        <w:t xml:space="preserve"> </w:t>
      </w:r>
      <w:r w:rsidRPr="00FC7501">
        <w:t>Therefore, training is listed here as a separate item.</w:t>
      </w:r>
      <w:r w:rsidR="00381E52">
        <w:t xml:space="preserve"> </w:t>
      </w:r>
    </w:p>
    <w:p w:rsidR="001D2EC4" w:rsidRPr="00FC7501" w:rsidRDefault="001D2EC4" w:rsidP="00764461">
      <w:pPr>
        <w:pStyle w:val="ListBullet2"/>
      </w:pPr>
      <w:r w:rsidRPr="00764461">
        <w:rPr>
          <w:b/>
        </w:rPr>
        <w:t>Startup.</w:t>
      </w:r>
      <w:r w:rsidRPr="00FC7501">
        <w:t xml:space="preserve"> The hospital needs to pay for running the quality program, including costs of personnel, supplies, equipment, and information system.</w:t>
      </w:r>
    </w:p>
    <w:p w:rsidR="001D2EC4" w:rsidRPr="00FC7501" w:rsidRDefault="001D2EC4" w:rsidP="00764461">
      <w:pPr>
        <w:pStyle w:val="ListBullet2"/>
      </w:pPr>
      <w:r w:rsidRPr="00764461">
        <w:rPr>
          <w:b/>
        </w:rPr>
        <w:t>Ongoing operation, monitoring</w:t>
      </w:r>
      <w:r w:rsidR="004F271D">
        <w:rPr>
          <w:b/>
        </w:rPr>
        <w:t>,</w:t>
      </w:r>
      <w:r w:rsidRPr="00764461">
        <w:rPr>
          <w:b/>
        </w:rPr>
        <w:t xml:space="preserve"> and maintenance.</w:t>
      </w:r>
      <w:r w:rsidR="00381E52">
        <w:t xml:space="preserve"> </w:t>
      </w:r>
      <w:r w:rsidRPr="00FC7501">
        <w:t xml:space="preserve">During the </w:t>
      </w:r>
      <w:r w:rsidR="002268AF" w:rsidRPr="00FC7501">
        <w:t xml:space="preserve">implementation </w:t>
      </w:r>
      <w:r w:rsidRPr="00FC7501">
        <w:t>process, the hospital need</w:t>
      </w:r>
      <w:r w:rsidR="004F271D">
        <w:t>s</w:t>
      </w:r>
      <w:r w:rsidRPr="00FC7501">
        <w:t xml:space="preserve"> to make sure its quality program is functioning as planned.</w:t>
      </w:r>
      <w:r w:rsidR="00381E52">
        <w:t xml:space="preserve"> </w:t>
      </w:r>
      <w:r w:rsidRPr="00FC7501">
        <w:t>Data about quality, utilization, costs, and revenue indicators should be collected to monitor changes in these indicators.</w:t>
      </w:r>
      <w:r w:rsidR="00381E52">
        <w:t xml:space="preserve"> </w:t>
      </w:r>
      <w:r w:rsidRPr="00FC7501">
        <w:t xml:space="preserve">The hospital also needs to spend on maintenance services for both the information system and the equipment for the quality improvement program. </w:t>
      </w:r>
    </w:p>
    <w:p w:rsidR="001D2EC4" w:rsidRPr="00FC7501" w:rsidRDefault="009E6100" w:rsidP="00764461">
      <w:pPr>
        <w:pStyle w:val="ListBullet2"/>
      </w:pPr>
      <w:r w:rsidRPr="00764461">
        <w:rPr>
          <w:b/>
        </w:rPr>
        <w:t>Shutdown costs for</w:t>
      </w:r>
      <w:r w:rsidR="001D2EC4" w:rsidRPr="00764461">
        <w:rPr>
          <w:b/>
        </w:rPr>
        <w:t xml:space="preserve"> time</w:t>
      </w:r>
      <w:r w:rsidRPr="00764461">
        <w:rPr>
          <w:b/>
        </w:rPr>
        <w:t>-</w:t>
      </w:r>
      <w:r w:rsidR="001D2EC4" w:rsidRPr="00764461">
        <w:rPr>
          <w:b/>
        </w:rPr>
        <w:t>limited intervention</w:t>
      </w:r>
      <w:r w:rsidRPr="00764461">
        <w:rPr>
          <w:b/>
        </w:rPr>
        <w:t xml:space="preserve"> or failures</w:t>
      </w:r>
      <w:r w:rsidR="001D2EC4" w:rsidRPr="00764461">
        <w:rPr>
          <w:b/>
        </w:rPr>
        <w:t>.</w:t>
      </w:r>
      <w:r w:rsidR="001D2EC4" w:rsidRPr="00FC7501">
        <w:t xml:space="preserve"> While some quality programs may last a long period and become routine operation for the hospital, other programs might just be temporary, or may fail and have to be shut down after a short time.</w:t>
      </w:r>
      <w:r w:rsidR="00381E52">
        <w:t xml:space="preserve"> </w:t>
      </w:r>
      <w:r w:rsidR="00E167BF">
        <w:t xml:space="preserve">In these cases, there may be costs associated with </w:t>
      </w:r>
      <w:r w:rsidR="001D2EC4" w:rsidRPr="00FC7501">
        <w:t>shutting down the program.</w:t>
      </w:r>
    </w:p>
    <w:p w:rsidR="001D2EC4" w:rsidRPr="00FC7501" w:rsidRDefault="001D2EC4" w:rsidP="00764461">
      <w:pPr>
        <w:pStyle w:val="Heading3"/>
      </w:pPr>
      <w:r w:rsidRPr="00FC7501">
        <w:t>Categories of Costs for Program Planning, Implementation</w:t>
      </w:r>
      <w:r w:rsidR="004F271D">
        <w:t>,</w:t>
      </w:r>
      <w:r w:rsidRPr="00FC7501">
        <w:t xml:space="preserve"> and Maintenance</w:t>
      </w:r>
    </w:p>
    <w:p w:rsidR="001D2EC4" w:rsidRPr="00FC7501" w:rsidRDefault="001D2EC4" w:rsidP="00764461">
      <w:pPr>
        <w:pStyle w:val="ListBullet2"/>
      </w:pPr>
      <w:proofErr w:type="gramStart"/>
      <w:r w:rsidRPr="00764461">
        <w:rPr>
          <w:b/>
        </w:rPr>
        <w:t>Personnel</w:t>
      </w:r>
      <w:r w:rsidRPr="00FC7501">
        <w:t xml:space="preserve"> includes</w:t>
      </w:r>
      <w:proofErr w:type="gramEnd"/>
      <w:r w:rsidRPr="00FC7501">
        <w:t xml:space="preserve"> all the people involved in developing and implementing the practice or quality improvement program, such as doctors, nurses, assistants, </w:t>
      </w:r>
      <w:r w:rsidR="004F271D">
        <w:t xml:space="preserve">and </w:t>
      </w:r>
      <w:r w:rsidRPr="00FC7501">
        <w:t xml:space="preserve">administrators. </w:t>
      </w:r>
    </w:p>
    <w:p w:rsidR="001D2EC4" w:rsidRPr="00FC7501" w:rsidRDefault="001D2EC4" w:rsidP="00764461">
      <w:pPr>
        <w:pStyle w:val="ListBullet2"/>
      </w:pPr>
      <w:r w:rsidRPr="00764461">
        <w:rPr>
          <w:b/>
        </w:rPr>
        <w:t>Supplies</w:t>
      </w:r>
      <w:r w:rsidRPr="00FC7501">
        <w:t xml:space="preserve"> include both office and medical supplies needed for development and implementation of the program. </w:t>
      </w:r>
    </w:p>
    <w:p w:rsidR="001D2EC4" w:rsidRPr="00FC7501" w:rsidRDefault="001D2EC4" w:rsidP="00764461">
      <w:pPr>
        <w:pStyle w:val="ListBullet2"/>
        <w:rPr>
          <w:u w:val="single"/>
        </w:rPr>
      </w:pPr>
      <w:r w:rsidRPr="00764461">
        <w:rPr>
          <w:b/>
        </w:rPr>
        <w:t>Equipment</w:t>
      </w:r>
      <w:r w:rsidRPr="00FC7501">
        <w:t xml:space="preserve"> includes medical equipment purchased for use by the program.</w:t>
      </w:r>
    </w:p>
    <w:p w:rsidR="001D2EC4" w:rsidRPr="00FC7501" w:rsidRDefault="001D2EC4" w:rsidP="00764461">
      <w:pPr>
        <w:pStyle w:val="ListBullet2"/>
        <w:rPr>
          <w:u w:val="single"/>
        </w:rPr>
      </w:pPr>
      <w:r w:rsidRPr="00764461">
        <w:rPr>
          <w:b/>
        </w:rPr>
        <w:t>Training</w:t>
      </w:r>
      <w:r w:rsidRPr="00FC7501">
        <w:t xml:space="preserve"> includes training of clinical</w:t>
      </w:r>
      <w:r w:rsidR="00E167BF">
        <w:t xml:space="preserve">, </w:t>
      </w:r>
      <w:r w:rsidRPr="00FC7501">
        <w:t>financial</w:t>
      </w:r>
      <w:r w:rsidR="00BB2F6E">
        <w:t>,</w:t>
      </w:r>
      <w:r w:rsidRPr="00FC7501">
        <w:t xml:space="preserve"> </w:t>
      </w:r>
      <w:r w:rsidR="00E167BF">
        <w:t xml:space="preserve">or other </w:t>
      </w:r>
      <w:r w:rsidRPr="00FC7501">
        <w:t xml:space="preserve">staff </w:t>
      </w:r>
      <w:r w:rsidR="00E167BF">
        <w:t xml:space="preserve">involved in the </w:t>
      </w:r>
      <w:r w:rsidR="00A92C6D">
        <w:t xml:space="preserve">quality </w:t>
      </w:r>
      <w:r w:rsidR="00E167BF">
        <w:t xml:space="preserve">improvement </w:t>
      </w:r>
      <w:r w:rsidR="00A92C6D">
        <w:t>initiative</w:t>
      </w:r>
      <w:r w:rsidR="00E167BF">
        <w:t xml:space="preserve"> </w:t>
      </w:r>
      <w:r w:rsidR="004F271D">
        <w:t xml:space="preserve">both </w:t>
      </w:r>
      <w:r w:rsidRPr="00FC7501">
        <w:t>before the program starts and during different stages of program implementation.</w:t>
      </w:r>
      <w:r w:rsidR="00381E52">
        <w:rPr>
          <w:u w:val="single"/>
        </w:rPr>
        <w:t xml:space="preserve"> </w:t>
      </w:r>
    </w:p>
    <w:p w:rsidR="001D2EC4" w:rsidRPr="00FC7501" w:rsidRDefault="001D2EC4" w:rsidP="00764461">
      <w:pPr>
        <w:pStyle w:val="ListBullet2"/>
      </w:pPr>
      <w:r w:rsidRPr="00764461">
        <w:rPr>
          <w:b/>
        </w:rPr>
        <w:t>Information</w:t>
      </w:r>
      <w:r w:rsidRPr="00764461">
        <w:t xml:space="preserve"> </w:t>
      </w:r>
      <w:r w:rsidRPr="00764461">
        <w:rPr>
          <w:b/>
        </w:rPr>
        <w:t xml:space="preserve">systems </w:t>
      </w:r>
      <w:r w:rsidRPr="00FC7501">
        <w:t xml:space="preserve">include computers, software, </w:t>
      </w:r>
      <w:r w:rsidR="00E167BF">
        <w:t>network infrastructure</w:t>
      </w:r>
      <w:r w:rsidR="00407408">
        <w:t>,</w:t>
      </w:r>
      <w:r w:rsidR="00E167BF">
        <w:t xml:space="preserve"> </w:t>
      </w:r>
      <w:r w:rsidRPr="00FC7501">
        <w:t xml:space="preserve">and </w:t>
      </w:r>
      <w:r w:rsidR="004F271D">
        <w:t>information technology</w:t>
      </w:r>
      <w:r w:rsidRPr="00FC7501">
        <w:t xml:space="preserve"> professional</w:t>
      </w:r>
      <w:r w:rsidR="004F271D">
        <w:t>s</w:t>
      </w:r>
      <w:r w:rsidRPr="00FC7501">
        <w:t xml:space="preserve"> to set up </w:t>
      </w:r>
      <w:r w:rsidR="004F271D">
        <w:t xml:space="preserve">a </w:t>
      </w:r>
      <w:r w:rsidRPr="00FC7501">
        <w:t xml:space="preserve">database of clinical and financial records. </w:t>
      </w:r>
    </w:p>
    <w:p w:rsidR="001D2EC4" w:rsidRPr="00FC7501" w:rsidRDefault="001D2EC4" w:rsidP="00764461">
      <w:pPr>
        <w:pStyle w:val="ListBullet2"/>
      </w:pPr>
      <w:r w:rsidRPr="00764461">
        <w:rPr>
          <w:b/>
        </w:rPr>
        <w:t>Outreach and communication</w:t>
      </w:r>
      <w:r w:rsidRPr="00FC7501">
        <w:t xml:space="preserve"> includes communications among different professional groups, such as doctors, nurses</w:t>
      </w:r>
      <w:r w:rsidR="004F271D">
        <w:t>,</w:t>
      </w:r>
      <w:r w:rsidRPr="00FC7501">
        <w:t xml:space="preserve"> and administrators, and across different hospital departments, such as clinical and financial departments, and </w:t>
      </w:r>
      <w:r w:rsidR="00F77E53" w:rsidRPr="00FC7501">
        <w:t xml:space="preserve">the </w:t>
      </w:r>
      <w:r w:rsidRPr="00FC7501">
        <w:t>hospital</w:t>
      </w:r>
      <w:r w:rsidR="00F77E53" w:rsidRPr="00FC7501">
        <w:t xml:space="preserve">’s </w:t>
      </w:r>
      <w:r w:rsidR="004F271D">
        <w:t>b</w:t>
      </w:r>
      <w:r w:rsidR="00F77E53" w:rsidRPr="00FC7501">
        <w:t xml:space="preserve">oard of </w:t>
      </w:r>
      <w:r w:rsidR="004F271D">
        <w:t>d</w:t>
      </w:r>
      <w:r w:rsidR="00F77E53" w:rsidRPr="00FC7501">
        <w:t>irectors</w:t>
      </w:r>
      <w:r w:rsidRPr="00FC7501">
        <w:t>.</w:t>
      </w:r>
    </w:p>
    <w:p w:rsidR="001D2EC4" w:rsidRPr="00FC7501" w:rsidRDefault="001D2EC4" w:rsidP="00764461">
      <w:pPr>
        <w:pStyle w:val="ListBullet2"/>
      </w:pPr>
      <w:r w:rsidRPr="00764461">
        <w:rPr>
          <w:b/>
        </w:rPr>
        <w:t>External consultant costs</w:t>
      </w:r>
      <w:r w:rsidRPr="00FC7501">
        <w:t xml:space="preserve"> may include external trainers for developing and implementing the program, or an external statistician for analyzing data to estimate the changes in quality and utilization of hospital inpatient care.</w:t>
      </w:r>
    </w:p>
    <w:p w:rsidR="001E2F92" w:rsidRPr="00FC7501" w:rsidRDefault="007D7812" w:rsidP="00CC3DE2">
      <w:pPr>
        <w:pStyle w:val="Heading1"/>
      </w:pPr>
      <w:r>
        <w:br w:type="page"/>
      </w:r>
      <w:proofErr w:type="gramStart"/>
      <w:r w:rsidR="0006212E" w:rsidRPr="00FC7501">
        <w:lastRenderedPageBreak/>
        <w:t xml:space="preserve">Appendix </w:t>
      </w:r>
      <w:r w:rsidRPr="00FC7501">
        <w:t>I</w:t>
      </w:r>
      <w:r w:rsidR="00E721DF" w:rsidRPr="00FC7501">
        <w:t>I</w:t>
      </w:r>
      <w:r w:rsidR="007001F8" w:rsidRPr="00FC7501">
        <w:t>.</w:t>
      </w:r>
      <w:proofErr w:type="gramEnd"/>
      <w:r w:rsidR="0089042E">
        <w:t xml:space="preserve"> </w:t>
      </w:r>
      <w:r w:rsidR="00EC4D25" w:rsidRPr="00FC7501">
        <w:t xml:space="preserve">Examples of </w:t>
      </w:r>
      <w:r w:rsidR="0006344C" w:rsidRPr="00FC7501">
        <w:t>E</w:t>
      </w:r>
      <w:r w:rsidR="00EC4D25" w:rsidRPr="00FC7501">
        <w:t xml:space="preserve">xisting ROI </w:t>
      </w:r>
      <w:r w:rsidR="0006344C" w:rsidRPr="00FC7501">
        <w:t>C</w:t>
      </w:r>
      <w:r w:rsidR="00EC4D25" w:rsidRPr="00FC7501">
        <w:t>alculators</w:t>
      </w:r>
    </w:p>
    <w:p w:rsidR="00EC4D25" w:rsidRPr="00FC7501" w:rsidRDefault="00EC4D25" w:rsidP="00764461">
      <w:pPr>
        <w:pStyle w:val="Heading3"/>
      </w:pPr>
      <w:r w:rsidRPr="00FC7501">
        <w:t>ROI Forecasting Calculator for Quality Initiatives</w:t>
      </w:r>
    </w:p>
    <w:p w:rsidR="00590BDB" w:rsidRPr="00FC7501" w:rsidRDefault="00590BDB" w:rsidP="00076128">
      <w:pPr>
        <w:rPr>
          <w:rFonts w:eastAsia="SimSun"/>
          <w:color w:val="003581"/>
          <w:lang w:eastAsia="zh-CN"/>
        </w:rPr>
      </w:pPr>
      <w:r w:rsidRPr="00FC7501">
        <w:t xml:space="preserve">The ROI Forecasting Calculator for Quality Initiatives was developed by the Center for Health Care Strategies, which is a nonprofit health policy center. It is a </w:t>
      </w:r>
      <w:r w:rsidR="004F271D">
        <w:t>W</w:t>
      </w:r>
      <w:r w:rsidR="00BB2F6E">
        <w:t>eb-based tool designed to help S</w:t>
      </w:r>
      <w:r w:rsidRPr="00FC7501">
        <w:t>tate Medicaid agencies, health plans, and other stakeholders assess and demonstrate the cost-savings potential of efforts to improve quality.</w:t>
      </w:r>
      <w:r w:rsidR="00381E52">
        <w:t xml:space="preserve"> </w:t>
      </w:r>
      <w:r w:rsidRPr="00FC7501">
        <w:t>It provides step-by-step instruction</w:t>
      </w:r>
      <w:r w:rsidR="009075B2" w:rsidRPr="00FC7501">
        <w:t>s</w:t>
      </w:r>
      <w:r w:rsidRPr="00FC7501">
        <w:t xml:space="preserve"> for users to calculate ROI for </w:t>
      </w:r>
      <w:r w:rsidR="009075B2" w:rsidRPr="00FC7501">
        <w:t xml:space="preserve">the </w:t>
      </w:r>
      <w:r w:rsidRPr="00FC7501">
        <w:t xml:space="preserve">proposed quality initiatives. </w:t>
      </w:r>
      <w:r w:rsidR="00240E56" w:rsidRPr="00FC7501">
        <w:t xml:space="preserve">It can be used online at </w:t>
      </w:r>
      <w:hyperlink r:id="rId23" w:history="1">
        <w:r w:rsidR="00240E56" w:rsidRPr="00764461">
          <w:rPr>
            <w:rStyle w:val="Hyperlink"/>
          </w:rPr>
          <w:t>http://www.chcsroi.org/Welcome.aspx</w:t>
        </w:r>
      </w:hyperlink>
      <w:r w:rsidR="004F271D">
        <w:t>.</w:t>
      </w:r>
      <w:r w:rsidR="00240E56" w:rsidRPr="00FC7501">
        <w:t xml:space="preserve"> </w:t>
      </w:r>
      <w:r w:rsidR="004F271D">
        <w:t>U</w:t>
      </w:r>
      <w:r w:rsidR="00240E56" w:rsidRPr="00FC7501">
        <w:t xml:space="preserve">sers </w:t>
      </w:r>
      <w:r w:rsidRPr="00FC7501">
        <w:t>enter a variety of assumptions</w:t>
      </w:r>
      <w:r w:rsidR="00240E56" w:rsidRPr="00FC7501">
        <w:t xml:space="preserve"> before starting the calculation</w:t>
      </w:r>
      <w:r w:rsidRPr="00FC7501">
        <w:t xml:space="preserve">, including target population characteristics, program costs, and expected changes in health care utilization, to estimate potential savings. </w:t>
      </w:r>
    </w:p>
    <w:p w:rsidR="00EC4D25" w:rsidRPr="00FC7501" w:rsidRDefault="00A07525" w:rsidP="00764461">
      <w:pPr>
        <w:pStyle w:val="Heading3"/>
      </w:pPr>
      <w:r>
        <w:t xml:space="preserve">Adverse </w:t>
      </w:r>
      <w:r w:rsidR="00EC4D25" w:rsidRPr="00FC7501">
        <w:t>Events Prevented Calculator</w:t>
      </w:r>
    </w:p>
    <w:p w:rsidR="00A20AFE" w:rsidRPr="00764461" w:rsidRDefault="001B4D73" w:rsidP="00076128">
      <w:pPr>
        <w:rPr>
          <w:rStyle w:val="Hyperlink"/>
        </w:rPr>
      </w:pPr>
      <w:r w:rsidRPr="00FC7501">
        <w:t xml:space="preserve">Developed by the </w:t>
      </w:r>
      <w:hyperlink r:id="rId24" w:history="1">
        <w:r w:rsidRPr="00FC7501">
          <w:t>Institute for Healthcare Improvement</w:t>
        </w:r>
      </w:hyperlink>
      <w:r w:rsidRPr="00FC7501">
        <w:t xml:space="preserve">, this tool allows </w:t>
      </w:r>
      <w:r w:rsidR="004F271D">
        <w:t>users</w:t>
      </w:r>
      <w:r w:rsidRPr="00FC7501">
        <w:t xml:space="preserve"> to track the change in rate of any type of adverse event over time</w:t>
      </w:r>
      <w:r w:rsidR="004F271D">
        <w:t>.</w:t>
      </w:r>
      <w:r w:rsidRPr="00FC7501">
        <w:t xml:space="preserve"> </w:t>
      </w:r>
      <w:r w:rsidR="004F271D">
        <w:t>W</w:t>
      </w:r>
      <w:r w:rsidRPr="00FC7501">
        <w:t xml:space="preserve">hen appropriate data are added, </w:t>
      </w:r>
      <w:r w:rsidR="004F271D">
        <w:t xml:space="preserve">the user also can track </w:t>
      </w:r>
      <w:r w:rsidRPr="00FC7501">
        <w:t>the consequent change in unnecessary deaths (</w:t>
      </w:r>
      <w:r w:rsidR="004F271D">
        <w:t>“</w:t>
      </w:r>
      <w:r w:rsidRPr="00FC7501">
        <w:t>lives saved</w:t>
      </w:r>
      <w:r w:rsidR="004F271D">
        <w:t>”</w:t>
      </w:r>
      <w:r w:rsidRPr="00FC7501">
        <w:t xml:space="preserve">), real and additional potential cost savings, and </w:t>
      </w:r>
      <w:r w:rsidR="004F271D">
        <w:t>ROI</w:t>
      </w:r>
      <w:r w:rsidRPr="00FC7501">
        <w:t xml:space="preserve"> of quality improvement work targeting those adverse events. The tool and its user guides are free for</w:t>
      </w:r>
      <w:r w:rsidR="00381E52">
        <w:t xml:space="preserve"> </w:t>
      </w:r>
      <w:r w:rsidR="00646CDF" w:rsidRPr="00FC7501">
        <w:t>download at</w:t>
      </w:r>
      <w:r w:rsidR="00076128">
        <w:t xml:space="preserve"> </w:t>
      </w:r>
      <w:hyperlink r:id="rId25" w:history="1">
        <w:r w:rsidR="00272BC2" w:rsidRPr="00DD6A3B">
          <w:rPr>
            <w:rStyle w:val="Hyperlink"/>
          </w:rPr>
          <w:t>http://www.ihi.org/resources/Pages/Tools/AdverseEventsPreventedCalculator.aspx</w:t>
        </w:r>
      </w:hyperlink>
    </w:p>
    <w:p w:rsidR="008F231B" w:rsidRPr="00FC7501" w:rsidRDefault="008F231B" w:rsidP="00764461">
      <w:pPr>
        <w:spacing w:after="0"/>
        <w:jc w:val="center"/>
        <w:rPr>
          <w:rFonts w:ascii="Arial" w:hAnsi="Arial" w:cs="Arial"/>
        </w:rPr>
      </w:pPr>
    </w:p>
    <w:sectPr w:rsidR="008F231B" w:rsidRPr="00FC7501" w:rsidSect="00CC3DE2">
      <w:footerReference w:type="default" r:id="rId26"/>
      <w:footnotePr>
        <w:numFmt w:val="lowerRoman"/>
      </w:footnotePr>
      <w:pgSz w:w="12240" w:h="15840"/>
      <w:pgMar w:top="1440" w:right="1440" w:bottom="720" w:left="1440" w:header="720" w:footer="52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641" w:rsidRDefault="009B3641">
      <w:r>
        <w:separator/>
      </w:r>
    </w:p>
  </w:endnote>
  <w:endnote w:type="continuationSeparator" w:id="0">
    <w:p w:rsidR="009B3641" w:rsidRDefault="009B3641">
      <w:r>
        <w:continuationSeparator/>
      </w:r>
    </w:p>
  </w:endnote>
  <w:endnote w:type="continuationNotice" w:id="1">
    <w:p w:rsidR="009B3641" w:rsidRDefault="009B3641">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lexo">
    <w:altName w:val="Flex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46" w:rsidRDefault="00DC25B6" w:rsidP="00662EB6">
    <w:pPr>
      <w:pStyle w:val="Footer"/>
      <w:framePr w:wrap="around" w:vAnchor="text" w:hAnchor="margin" w:xAlign="center" w:y="1"/>
      <w:rPr>
        <w:rStyle w:val="PageNumber"/>
      </w:rPr>
    </w:pPr>
    <w:r>
      <w:rPr>
        <w:rStyle w:val="PageNumber"/>
      </w:rPr>
      <w:fldChar w:fldCharType="begin"/>
    </w:r>
    <w:r w:rsidR="00975A46">
      <w:rPr>
        <w:rStyle w:val="PageNumber"/>
      </w:rPr>
      <w:instrText xml:space="preserve">PAGE  </w:instrText>
    </w:r>
    <w:r>
      <w:rPr>
        <w:rStyle w:val="PageNumber"/>
      </w:rPr>
      <w:fldChar w:fldCharType="end"/>
    </w:r>
  </w:p>
  <w:p w:rsidR="00975A46" w:rsidRDefault="00975A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46" w:rsidRPr="00975A46" w:rsidRDefault="00975A46" w:rsidP="00764461">
    <w:pPr>
      <w:pStyle w:val="Footer"/>
      <w:tabs>
        <w:tab w:val="clear" w:pos="4320"/>
        <w:tab w:val="clear" w:pos="8640"/>
        <w:tab w:val="center" w:pos="4680"/>
        <w:tab w:val="right" w:pos="9360"/>
      </w:tabs>
      <w:spacing w:after="0"/>
      <w:rPr>
        <w:sz w:val="20"/>
        <w:szCs w:val="20"/>
      </w:rPr>
    </w:pPr>
    <w:r w:rsidRPr="00975A46">
      <w:rPr>
        <w:sz w:val="20"/>
        <w:szCs w:val="20"/>
      </w:rPr>
      <w:tab/>
    </w:r>
    <w:r w:rsidR="00DC25B6" w:rsidRPr="00975A46">
      <w:rPr>
        <w:sz w:val="20"/>
        <w:szCs w:val="20"/>
      </w:rPr>
      <w:fldChar w:fldCharType="begin"/>
    </w:r>
    <w:r w:rsidRPr="00975A46">
      <w:rPr>
        <w:sz w:val="20"/>
        <w:szCs w:val="20"/>
      </w:rPr>
      <w:instrText xml:space="preserve"> PAGE   \* MERGEFORMAT </w:instrText>
    </w:r>
    <w:r w:rsidR="00DC25B6" w:rsidRPr="00975A46">
      <w:rPr>
        <w:sz w:val="20"/>
        <w:szCs w:val="20"/>
      </w:rPr>
      <w:fldChar w:fldCharType="separate"/>
    </w:r>
    <w:r w:rsidR="00E75DAD">
      <w:rPr>
        <w:noProof/>
        <w:sz w:val="20"/>
        <w:szCs w:val="20"/>
      </w:rPr>
      <w:t>4</w:t>
    </w:r>
    <w:r w:rsidR="00DC25B6" w:rsidRPr="00975A46">
      <w:rPr>
        <w:sz w:val="20"/>
        <w:szCs w:val="20"/>
      </w:rPr>
      <w:fldChar w:fldCharType="end"/>
    </w:r>
    <w:r w:rsidRPr="00975A46">
      <w:rPr>
        <w:sz w:val="20"/>
        <w:szCs w:val="20"/>
      </w:rPr>
      <w:tab/>
      <w:t>Tool F.1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46" w:rsidRDefault="00975A46" w:rsidP="00764461">
    <w:pPr>
      <w:pStyle w:val="Footer"/>
      <w:tabs>
        <w:tab w:val="clear" w:pos="8640"/>
        <w:tab w:val="right" w:pos="9180"/>
      </w:tabs>
      <w:spacing w:after="0"/>
    </w:pPr>
    <w:r>
      <w:tab/>
    </w:r>
    <w:r w:rsidRPr="00FC7501">
      <w:rPr>
        <w:rFonts w:ascii="Arial" w:hAnsi="Arial" w:cs="Arial"/>
        <w:sz w:val="16"/>
        <w:szCs w:val="16"/>
      </w:rPr>
      <w:tab/>
      <w:t>Tool F.1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46" w:rsidRDefault="00975A46" w:rsidP="00E81BDA">
    <w:pPr>
      <w:pStyle w:val="Footer"/>
      <w:tabs>
        <w:tab w:val="clear" w:pos="4320"/>
        <w:tab w:val="clear" w:pos="8640"/>
        <w:tab w:val="decimal" w:pos="4680"/>
        <w:tab w:val="right" w:pos="9000"/>
        <w:tab w:val="right" w:pos="12600"/>
      </w:tabs>
      <w:spacing w:after="0"/>
    </w:pPr>
    <w:r w:rsidRPr="00E81BDA">
      <w:rPr>
        <w:rFonts w:ascii="Arial" w:hAnsi="Arial"/>
        <w:sz w:val="16"/>
      </w:rPr>
      <w:tab/>
    </w:r>
    <w:r w:rsidR="00DC25B6" w:rsidRPr="00764461">
      <w:rPr>
        <w:rFonts w:ascii="Arial" w:hAnsi="Arial" w:cs="Arial"/>
        <w:sz w:val="16"/>
        <w:szCs w:val="16"/>
      </w:rPr>
      <w:fldChar w:fldCharType="begin"/>
    </w:r>
    <w:r w:rsidRPr="00764461">
      <w:rPr>
        <w:rFonts w:ascii="Arial" w:hAnsi="Arial" w:cs="Arial"/>
        <w:sz w:val="16"/>
        <w:szCs w:val="16"/>
      </w:rPr>
      <w:instrText xml:space="preserve"> PAGE   \* MERGEFORMAT </w:instrText>
    </w:r>
    <w:r w:rsidR="00DC25B6" w:rsidRPr="00764461">
      <w:rPr>
        <w:rFonts w:ascii="Arial" w:hAnsi="Arial" w:cs="Arial"/>
        <w:sz w:val="16"/>
        <w:szCs w:val="16"/>
      </w:rPr>
      <w:fldChar w:fldCharType="separate"/>
    </w:r>
    <w:r w:rsidR="00E75DAD">
      <w:rPr>
        <w:rFonts w:ascii="Arial" w:hAnsi="Arial" w:cs="Arial"/>
        <w:noProof/>
        <w:sz w:val="16"/>
        <w:szCs w:val="16"/>
      </w:rPr>
      <w:t>6</w:t>
    </w:r>
    <w:r w:rsidR="00DC25B6" w:rsidRPr="00764461">
      <w:rPr>
        <w:rFonts w:ascii="Arial" w:hAnsi="Arial" w:cs="Arial"/>
        <w:noProof/>
        <w:sz w:val="16"/>
        <w:szCs w:val="16"/>
      </w:rPr>
      <w:fldChar w:fldCharType="end"/>
    </w:r>
    <w:r>
      <w:rPr>
        <w:rFonts w:ascii="Arial" w:hAnsi="Arial" w:cs="Arial"/>
        <w:sz w:val="16"/>
        <w:szCs w:val="16"/>
      </w:rPr>
      <w:tab/>
    </w:r>
    <w:r w:rsidRPr="00FC7501">
      <w:rPr>
        <w:rFonts w:ascii="Arial" w:hAnsi="Arial" w:cs="Arial"/>
        <w:sz w:val="16"/>
        <w:szCs w:val="16"/>
      </w:rPr>
      <w:t>Tool F.1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46" w:rsidRDefault="00975A46" w:rsidP="00764461">
    <w:pPr>
      <w:pStyle w:val="Footer"/>
      <w:tabs>
        <w:tab w:val="clear" w:pos="4320"/>
        <w:tab w:val="clear" w:pos="8640"/>
        <w:tab w:val="center" w:pos="6480"/>
        <w:tab w:val="right" w:pos="12600"/>
      </w:tabs>
      <w:spacing w:after="0"/>
    </w:pPr>
    <w:r>
      <w:tab/>
    </w:r>
    <w:r w:rsidR="00DC25B6" w:rsidRPr="00764461">
      <w:rPr>
        <w:rFonts w:ascii="Arial" w:hAnsi="Arial" w:cs="Arial"/>
        <w:sz w:val="16"/>
        <w:szCs w:val="16"/>
      </w:rPr>
      <w:fldChar w:fldCharType="begin"/>
    </w:r>
    <w:r w:rsidRPr="00764461">
      <w:rPr>
        <w:rFonts w:ascii="Arial" w:hAnsi="Arial" w:cs="Arial"/>
        <w:sz w:val="16"/>
        <w:szCs w:val="16"/>
      </w:rPr>
      <w:instrText xml:space="preserve"> PAGE   \* MERGEFORMAT </w:instrText>
    </w:r>
    <w:r w:rsidR="00DC25B6" w:rsidRPr="00764461">
      <w:rPr>
        <w:rFonts w:ascii="Arial" w:hAnsi="Arial" w:cs="Arial"/>
        <w:sz w:val="16"/>
        <w:szCs w:val="16"/>
      </w:rPr>
      <w:fldChar w:fldCharType="separate"/>
    </w:r>
    <w:r w:rsidR="00E75DAD">
      <w:rPr>
        <w:rFonts w:ascii="Arial" w:hAnsi="Arial" w:cs="Arial"/>
        <w:noProof/>
        <w:sz w:val="16"/>
        <w:szCs w:val="16"/>
      </w:rPr>
      <w:t>8</w:t>
    </w:r>
    <w:r w:rsidR="00DC25B6" w:rsidRPr="00764461">
      <w:rPr>
        <w:rFonts w:ascii="Arial" w:hAnsi="Arial" w:cs="Arial"/>
        <w:sz w:val="16"/>
        <w:szCs w:val="16"/>
      </w:rPr>
      <w:fldChar w:fldCharType="end"/>
    </w:r>
    <w:r w:rsidRPr="00FC7501">
      <w:rPr>
        <w:rFonts w:ascii="Arial" w:hAnsi="Arial" w:cs="Arial"/>
        <w:sz w:val="16"/>
        <w:szCs w:val="16"/>
      </w:rPr>
      <w:tab/>
      <w:t>Tool F.1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46" w:rsidRPr="00CC3DE2" w:rsidRDefault="00975A46" w:rsidP="00E81BDA">
    <w:pPr>
      <w:pStyle w:val="Footer"/>
      <w:rPr>
        <w:sz w:val="32"/>
      </w:rPr>
    </w:pPr>
    <w:r w:rsidRPr="00CC3DE2">
      <w:rPr>
        <w:sz w:val="20"/>
        <w:szCs w:val="16"/>
      </w:rPr>
      <w:tab/>
    </w:r>
    <w:r w:rsidR="00DC25B6" w:rsidRPr="00CC3DE2">
      <w:rPr>
        <w:sz w:val="20"/>
        <w:szCs w:val="16"/>
      </w:rPr>
      <w:fldChar w:fldCharType="begin"/>
    </w:r>
    <w:r w:rsidRPr="00CC3DE2">
      <w:rPr>
        <w:sz w:val="20"/>
        <w:szCs w:val="16"/>
      </w:rPr>
      <w:instrText xml:space="preserve"> PAGE   \* MERGEFORMAT </w:instrText>
    </w:r>
    <w:r w:rsidR="00DC25B6" w:rsidRPr="00CC3DE2">
      <w:rPr>
        <w:sz w:val="20"/>
        <w:szCs w:val="16"/>
      </w:rPr>
      <w:fldChar w:fldCharType="separate"/>
    </w:r>
    <w:r w:rsidR="00E75DAD">
      <w:rPr>
        <w:noProof/>
        <w:sz w:val="20"/>
        <w:szCs w:val="16"/>
      </w:rPr>
      <w:t>13</w:t>
    </w:r>
    <w:r w:rsidR="00DC25B6" w:rsidRPr="00CC3DE2">
      <w:rPr>
        <w:noProof/>
        <w:sz w:val="20"/>
        <w:szCs w:val="16"/>
      </w:rPr>
      <w:fldChar w:fldCharType="end"/>
    </w:r>
    <w:r w:rsidRPr="00CC3DE2">
      <w:rPr>
        <w:sz w:val="20"/>
        <w:szCs w:val="16"/>
      </w:rPr>
      <w:tab/>
      <w:t>Tool F.1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641" w:rsidRDefault="009B3641">
      <w:r>
        <w:separator/>
      </w:r>
    </w:p>
  </w:footnote>
  <w:footnote w:type="continuationSeparator" w:id="0">
    <w:p w:rsidR="009B3641" w:rsidRDefault="009B3641">
      <w:r>
        <w:continuationSeparator/>
      </w:r>
    </w:p>
  </w:footnote>
  <w:footnote w:type="continuationNotice" w:id="1">
    <w:p w:rsidR="009B3641" w:rsidRDefault="009B3641">
      <w:pPr>
        <w:spacing w:after="0"/>
      </w:pPr>
    </w:p>
  </w:footnote>
  <w:footnote w:id="2">
    <w:p w:rsidR="00975A46" w:rsidRDefault="00975A46" w:rsidP="00B93A7B">
      <w:pPr>
        <w:pStyle w:val="FootnoteText"/>
      </w:pPr>
      <w:r>
        <w:rPr>
          <w:rStyle w:val="FootnoteReference"/>
        </w:rPr>
        <w:footnoteRef/>
      </w:r>
      <w:r>
        <w:t xml:space="preserve"> </w:t>
      </w:r>
      <w:proofErr w:type="spellStart"/>
      <w:r w:rsidRPr="00453AAE">
        <w:t>Kaushal</w:t>
      </w:r>
      <w:proofErr w:type="spellEnd"/>
      <w:r w:rsidRPr="00453AAE">
        <w:t xml:space="preserve"> R, </w:t>
      </w:r>
      <w:proofErr w:type="spellStart"/>
      <w:r w:rsidRPr="00453AAE">
        <w:t>Jha</w:t>
      </w:r>
      <w:proofErr w:type="spellEnd"/>
      <w:r w:rsidRPr="00453AAE">
        <w:t xml:space="preserve"> AK, Franz C, et al. Return on investment for a computerized physician order entry system. J Am Med Inform Assoc</w:t>
      </w:r>
      <w:r w:rsidRPr="00453AAE">
        <w:rPr>
          <w:i/>
        </w:rPr>
        <w:t xml:space="preserve"> </w:t>
      </w:r>
      <w:r w:rsidRPr="00453AAE">
        <w:t>2006</w:t>
      </w:r>
      <w:proofErr w:type="gramStart"/>
      <w:r w:rsidRPr="00453AAE">
        <w:t>;13</w:t>
      </w:r>
      <w:proofErr w:type="gramEnd"/>
      <w:r w:rsidRPr="00453AAE">
        <w:t>(3):261-6.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46" w:rsidRPr="00975A46" w:rsidRDefault="00975A46" w:rsidP="001B7948">
    <w:pPr>
      <w:spacing w:after="0"/>
      <w:jc w:val="right"/>
      <w:rPr>
        <w:rFonts w:eastAsia="Calibri"/>
        <w:color w:val="000000"/>
        <w:sz w:val="20"/>
        <w:szCs w:val="20"/>
      </w:rPr>
    </w:pPr>
    <w:r w:rsidRPr="00975A46">
      <w:rPr>
        <w:rFonts w:eastAsia="Calibri"/>
        <w:b/>
        <w:bCs/>
        <w:color w:val="000000"/>
        <w:sz w:val="20"/>
        <w:szCs w:val="20"/>
      </w:rPr>
      <w:t>Toolkit for Using the AHRQ Quality Indicators</w:t>
    </w:r>
  </w:p>
  <w:p w:rsidR="00975A46" w:rsidRPr="00975A46" w:rsidRDefault="00CC3DE2" w:rsidP="00D661F6">
    <w:pPr>
      <w:tabs>
        <w:tab w:val="center" w:pos="4680"/>
        <w:tab w:val="right" w:pos="9360"/>
      </w:tabs>
      <w:spacing w:after="0"/>
      <w:jc w:val="right"/>
      <w:rPr>
        <w:sz w:val="20"/>
        <w:szCs w:val="20"/>
      </w:rPr>
    </w:pPr>
    <w:r>
      <w:rPr>
        <w:rFonts w:eastAsia="Calibri"/>
        <w:i/>
        <w:iCs/>
        <w:color w:val="000000"/>
        <w:sz w:val="20"/>
        <w:szCs w:val="20"/>
      </w:rPr>
      <w:t>How T</w:t>
    </w:r>
    <w:r w:rsidR="00975A46" w:rsidRPr="00975A46">
      <w:rPr>
        <w:rFonts w:eastAsia="Calibri"/>
        <w:i/>
        <w:iCs/>
        <w:color w:val="000000"/>
        <w:sz w:val="20"/>
        <w:szCs w:val="20"/>
      </w:rPr>
      <w:t>o Improve Hospital Quality and Safety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46" w:rsidRDefault="00975A46" w:rsidP="00764461">
    <w:pPr>
      <w:tabs>
        <w:tab w:val="center" w:pos="4680"/>
        <w:tab w:val="right" w:pos="9180"/>
      </w:tabs>
      <w:spacing w:after="0"/>
      <w:jc w:val="right"/>
    </w:pPr>
    <w:r w:rsidRPr="009F208E">
      <w:rPr>
        <w:rFonts w:ascii="Arial" w:hAnsi="Arial" w:cs="Arial"/>
        <w:sz w:val="16"/>
        <w:szCs w:val="16"/>
      </w:rPr>
      <w:t xml:space="preserve">AHRQ </w:t>
    </w:r>
    <w:r>
      <w:rPr>
        <w:rFonts w:ascii="Arial" w:hAnsi="Arial" w:cs="Arial"/>
        <w:sz w:val="16"/>
        <w:szCs w:val="16"/>
      </w:rPr>
      <w:t>QI</w:t>
    </w:r>
    <w:r w:rsidRPr="009F208E">
      <w:rPr>
        <w:rFonts w:ascii="Arial" w:hAnsi="Arial" w:cs="Arial"/>
        <w:sz w:val="16"/>
        <w:szCs w:val="16"/>
      </w:rPr>
      <w:t xml:space="preserve"> Toolkit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5CE53E"/>
    <w:lvl w:ilvl="0">
      <w:start w:val="1"/>
      <w:numFmt w:val="decimal"/>
      <w:lvlText w:val="%1."/>
      <w:lvlJc w:val="left"/>
      <w:pPr>
        <w:tabs>
          <w:tab w:val="num" w:pos="1800"/>
        </w:tabs>
        <w:ind w:left="1800" w:hanging="360"/>
      </w:pPr>
    </w:lvl>
  </w:abstractNum>
  <w:abstractNum w:abstractNumId="1">
    <w:nsid w:val="FFFFFF7D"/>
    <w:multiLevelType w:val="singleLevel"/>
    <w:tmpl w:val="A5588ADE"/>
    <w:lvl w:ilvl="0">
      <w:start w:val="1"/>
      <w:numFmt w:val="decimal"/>
      <w:lvlText w:val="%1."/>
      <w:lvlJc w:val="left"/>
      <w:pPr>
        <w:tabs>
          <w:tab w:val="num" w:pos="1440"/>
        </w:tabs>
        <w:ind w:left="1440" w:hanging="360"/>
      </w:pPr>
    </w:lvl>
  </w:abstractNum>
  <w:abstractNum w:abstractNumId="2">
    <w:nsid w:val="FFFFFF7E"/>
    <w:multiLevelType w:val="singleLevel"/>
    <w:tmpl w:val="074431A2"/>
    <w:lvl w:ilvl="0">
      <w:start w:val="1"/>
      <w:numFmt w:val="decimal"/>
      <w:lvlText w:val="%1."/>
      <w:lvlJc w:val="left"/>
      <w:pPr>
        <w:tabs>
          <w:tab w:val="num" w:pos="1080"/>
        </w:tabs>
        <w:ind w:left="1080" w:hanging="360"/>
      </w:pPr>
    </w:lvl>
  </w:abstractNum>
  <w:abstractNum w:abstractNumId="3">
    <w:nsid w:val="FFFFFF7F"/>
    <w:multiLevelType w:val="singleLevel"/>
    <w:tmpl w:val="762A946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B08A7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BEEA0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3CD2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F3A510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8C668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F3886D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E80ABC"/>
    <w:multiLevelType w:val="hybridMultilevel"/>
    <w:tmpl w:val="BD9EE604"/>
    <w:lvl w:ilvl="0" w:tplc="DECCB1A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407358"/>
    <w:multiLevelType w:val="hybridMultilevel"/>
    <w:tmpl w:val="82E2B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2056CB"/>
    <w:multiLevelType w:val="hybridMultilevel"/>
    <w:tmpl w:val="7AC8A5AE"/>
    <w:lvl w:ilvl="0" w:tplc="897CFADC">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1C2B590E"/>
    <w:multiLevelType w:val="hybridMultilevel"/>
    <w:tmpl w:val="EDCC4D6C"/>
    <w:lvl w:ilvl="0" w:tplc="A2FC24CA">
      <w:start w:val="1"/>
      <w:numFmt w:val="lowerRoman"/>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F16290"/>
    <w:multiLevelType w:val="hybridMultilevel"/>
    <w:tmpl w:val="037AD5A6"/>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CD61F8"/>
    <w:multiLevelType w:val="hybridMultilevel"/>
    <w:tmpl w:val="575C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71044F"/>
    <w:multiLevelType w:val="multilevel"/>
    <w:tmpl w:val="02060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F919D2"/>
    <w:multiLevelType w:val="hybridMultilevel"/>
    <w:tmpl w:val="6C8C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EA308E"/>
    <w:multiLevelType w:val="hybridMultilevel"/>
    <w:tmpl w:val="DFB6E9B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3C3102"/>
    <w:multiLevelType w:val="multilevel"/>
    <w:tmpl w:val="9A44A6D0"/>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0">
    <w:nsid w:val="556B3C1C"/>
    <w:multiLevelType w:val="hybridMultilevel"/>
    <w:tmpl w:val="691E0618"/>
    <w:lvl w:ilvl="0" w:tplc="AA68E0B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AB33B92"/>
    <w:multiLevelType w:val="hybridMultilevel"/>
    <w:tmpl w:val="0FEEA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2B4660"/>
    <w:multiLevelType w:val="hybridMultilevel"/>
    <w:tmpl w:val="2362DC98"/>
    <w:lvl w:ilvl="0" w:tplc="04090003">
      <w:start w:val="1"/>
      <w:numFmt w:val="bullet"/>
      <w:lvlText w:val="o"/>
      <w:lvlJc w:val="left"/>
      <w:pPr>
        <w:tabs>
          <w:tab w:val="num" w:pos="1260"/>
        </w:tabs>
        <w:ind w:left="1260" w:hanging="360"/>
      </w:pPr>
      <w:rPr>
        <w:rFonts w:ascii="Courier New" w:hAnsi="Courier New" w:cs="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nsid w:val="5B7573D9"/>
    <w:multiLevelType w:val="hybridMultilevel"/>
    <w:tmpl w:val="2B302528"/>
    <w:lvl w:ilvl="0" w:tplc="BC801032">
      <w:start w:val="1"/>
      <w:numFmt w:val="lowerRoman"/>
      <w:lvlText w:val="(%1)"/>
      <w:lvlJc w:val="left"/>
      <w:pPr>
        <w:tabs>
          <w:tab w:val="num" w:pos="1080"/>
        </w:tabs>
        <w:ind w:left="1080" w:hanging="720"/>
      </w:pPr>
      <w:rPr>
        <w:rFonts w:hint="default"/>
      </w:rPr>
    </w:lvl>
    <w:lvl w:ilvl="1" w:tplc="C2CA74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106D8A"/>
    <w:multiLevelType w:val="hybridMultilevel"/>
    <w:tmpl w:val="51E2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8D5475"/>
    <w:multiLevelType w:val="hybridMultilevel"/>
    <w:tmpl w:val="7820C11A"/>
    <w:lvl w:ilvl="0" w:tplc="04FA6CA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8E4FBDE">
      <w:start w:val="1"/>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E07433"/>
    <w:multiLevelType w:val="hybridMultilevel"/>
    <w:tmpl w:val="9A44A6D0"/>
    <w:lvl w:ilvl="0" w:tplc="C6E01666">
      <w:start w:val="1"/>
      <w:numFmt w:val="bullet"/>
      <w:pStyle w:val="bulleted"/>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nsid w:val="70E60A28"/>
    <w:multiLevelType w:val="hybridMultilevel"/>
    <w:tmpl w:val="E2EE4486"/>
    <w:lvl w:ilvl="0" w:tplc="151AF534">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D551AC"/>
    <w:multiLevelType w:val="hybridMultilevel"/>
    <w:tmpl w:val="A46099DC"/>
    <w:lvl w:ilvl="0" w:tplc="2F12480A">
      <w:start w:val="9"/>
      <w:numFmt w:val="lowerRoman"/>
      <w:lvlText w:val="%1."/>
      <w:lvlJc w:val="left"/>
      <w:pPr>
        <w:tabs>
          <w:tab w:val="num" w:pos="900"/>
        </w:tabs>
        <w:ind w:left="900" w:hanging="360"/>
      </w:pPr>
      <w:rPr>
        <w:rFonts w:ascii="Times New Roman" w:eastAsia="Times New Roman" w:hAnsi="Times New Roman" w:cs="Times New Roman"/>
      </w:rPr>
    </w:lvl>
    <w:lvl w:ilvl="1" w:tplc="9712FA7E">
      <w:start w:val="1"/>
      <w:numFmt w:val="low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759F1A69"/>
    <w:multiLevelType w:val="hybridMultilevel"/>
    <w:tmpl w:val="CEDC5592"/>
    <w:lvl w:ilvl="0" w:tplc="F42E221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A085F3F"/>
    <w:multiLevelType w:val="hybridMultilevel"/>
    <w:tmpl w:val="85022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8F0F6A"/>
    <w:multiLevelType w:val="hybridMultilevel"/>
    <w:tmpl w:val="A3F09BB0"/>
    <w:lvl w:ilvl="0" w:tplc="282C8EA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23"/>
  </w:num>
  <w:num w:numId="3">
    <w:abstractNumId w:val="14"/>
  </w:num>
  <w:num w:numId="4">
    <w:abstractNumId w:val="28"/>
  </w:num>
  <w:num w:numId="5">
    <w:abstractNumId w:val="12"/>
  </w:num>
  <w:num w:numId="6">
    <w:abstractNumId w:val="13"/>
  </w:num>
  <w:num w:numId="7">
    <w:abstractNumId w:val="31"/>
  </w:num>
  <w:num w:numId="8">
    <w:abstractNumId w:val="29"/>
  </w:num>
  <w:num w:numId="9">
    <w:abstractNumId w:val="10"/>
  </w:num>
  <w:num w:numId="10">
    <w:abstractNumId w:val="26"/>
  </w:num>
  <w:num w:numId="11">
    <w:abstractNumId w:val="19"/>
  </w:num>
  <w:num w:numId="12">
    <w:abstractNumId w:val="22"/>
  </w:num>
  <w:num w:numId="13">
    <w:abstractNumId w:val="18"/>
  </w:num>
  <w:num w:numId="14">
    <w:abstractNumId w:val="16"/>
  </w:num>
  <w:num w:numId="15">
    <w:abstractNumId w:val="2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0"/>
  </w:num>
  <w:num w:numId="27">
    <w:abstractNumId w:val="20"/>
  </w:num>
  <w:num w:numId="28">
    <w:abstractNumId w:val="8"/>
    <w:lvlOverride w:ilvl="0">
      <w:startOverride w:val="1"/>
    </w:lvlOverride>
  </w:num>
  <w:num w:numId="29">
    <w:abstractNumId w:val="8"/>
    <w:lvlOverride w:ilvl="0">
      <w:startOverride w:val="1"/>
    </w:lvlOverride>
  </w:num>
  <w:num w:numId="30">
    <w:abstractNumId w:val="3"/>
    <w:lvlOverride w:ilvl="0">
      <w:startOverride w:val="1"/>
    </w:lvlOverride>
  </w:num>
  <w:num w:numId="31">
    <w:abstractNumId w:val="15"/>
  </w:num>
  <w:num w:numId="32">
    <w:abstractNumId w:val="11"/>
  </w:num>
  <w:num w:numId="33">
    <w:abstractNumId w:val="17"/>
  </w:num>
  <w:num w:numId="34">
    <w:abstractNumId w:val="24"/>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proofState w:spelling="clean" w:grammar="clean"/>
  <w:stylePaneFormatFilter w:val="3F04"/>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rsids>
    <w:rsidRoot w:val="00081A82"/>
    <w:rsid w:val="000006A8"/>
    <w:rsid w:val="0000076B"/>
    <w:rsid w:val="00000806"/>
    <w:rsid w:val="00000832"/>
    <w:rsid w:val="0000094D"/>
    <w:rsid w:val="00000AC0"/>
    <w:rsid w:val="00000B2B"/>
    <w:rsid w:val="00000CD1"/>
    <w:rsid w:val="00000EDB"/>
    <w:rsid w:val="00001350"/>
    <w:rsid w:val="000014BA"/>
    <w:rsid w:val="0000159C"/>
    <w:rsid w:val="00001BB1"/>
    <w:rsid w:val="00002030"/>
    <w:rsid w:val="000020A9"/>
    <w:rsid w:val="00002738"/>
    <w:rsid w:val="00002890"/>
    <w:rsid w:val="000031EA"/>
    <w:rsid w:val="000034BD"/>
    <w:rsid w:val="000034E6"/>
    <w:rsid w:val="000037CC"/>
    <w:rsid w:val="00003852"/>
    <w:rsid w:val="00003A09"/>
    <w:rsid w:val="0000420E"/>
    <w:rsid w:val="00004218"/>
    <w:rsid w:val="000044A3"/>
    <w:rsid w:val="00004699"/>
    <w:rsid w:val="000047AB"/>
    <w:rsid w:val="0000488D"/>
    <w:rsid w:val="00004B0D"/>
    <w:rsid w:val="00004BE4"/>
    <w:rsid w:val="00004D16"/>
    <w:rsid w:val="00004E16"/>
    <w:rsid w:val="00005225"/>
    <w:rsid w:val="00005239"/>
    <w:rsid w:val="0000598D"/>
    <w:rsid w:val="00005B75"/>
    <w:rsid w:val="00005CEB"/>
    <w:rsid w:val="00005E50"/>
    <w:rsid w:val="00006379"/>
    <w:rsid w:val="00006479"/>
    <w:rsid w:val="00006E7F"/>
    <w:rsid w:val="00006F5B"/>
    <w:rsid w:val="00007698"/>
    <w:rsid w:val="000076C4"/>
    <w:rsid w:val="000078CD"/>
    <w:rsid w:val="000079AB"/>
    <w:rsid w:val="00007BDE"/>
    <w:rsid w:val="00010269"/>
    <w:rsid w:val="00010646"/>
    <w:rsid w:val="00010F45"/>
    <w:rsid w:val="00011BDE"/>
    <w:rsid w:val="000122D8"/>
    <w:rsid w:val="0001237E"/>
    <w:rsid w:val="0001252B"/>
    <w:rsid w:val="000127F2"/>
    <w:rsid w:val="00012A41"/>
    <w:rsid w:val="00012B93"/>
    <w:rsid w:val="0001316E"/>
    <w:rsid w:val="0001346F"/>
    <w:rsid w:val="0001374F"/>
    <w:rsid w:val="000145E3"/>
    <w:rsid w:val="000151BA"/>
    <w:rsid w:val="00015227"/>
    <w:rsid w:val="00015348"/>
    <w:rsid w:val="00015503"/>
    <w:rsid w:val="00015B46"/>
    <w:rsid w:val="00015D35"/>
    <w:rsid w:val="00015E57"/>
    <w:rsid w:val="00015EAC"/>
    <w:rsid w:val="0001669B"/>
    <w:rsid w:val="000166DB"/>
    <w:rsid w:val="000167B0"/>
    <w:rsid w:val="00016A24"/>
    <w:rsid w:val="00016AF9"/>
    <w:rsid w:val="00017515"/>
    <w:rsid w:val="0001751B"/>
    <w:rsid w:val="000175CD"/>
    <w:rsid w:val="00017683"/>
    <w:rsid w:val="000176A4"/>
    <w:rsid w:val="000176B9"/>
    <w:rsid w:val="00017C9A"/>
    <w:rsid w:val="00017D81"/>
    <w:rsid w:val="00020482"/>
    <w:rsid w:val="000206B5"/>
    <w:rsid w:val="00020709"/>
    <w:rsid w:val="0002089C"/>
    <w:rsid w:val="00020A61"/>
    <w:rsid w:val="00020B20"/>
    <w:rsid w:val="00020BCD"/>
    <w:rsid w:val="00020E78"/>
    <w:rsid w:val="00020FFE"/>
    <w:rsid w:val="0002103E"/>
    <w:rsid w:val="0002116A"/>
    <w:rsid w:val="000215ED"/>
    <w:rsid w:val="0002167F"/>
    <w:rsid w:val="0002182A"/>
    <w:rsid w:val="000218F2"/>
    <w:rsid w:val="00021F32"/>
    <w:rsid w:val="00022275"/>
    <w:rsid w:val="00022318"/>
    <w:rsid w:val="0002275D"/>
    <w:rsid w:val="000230DA"/>
    <w:rsid w:val="0002314E"/>
    <w:rsid w:val="00023371"/>
    <w:rsid w:val="000234D3"/>
    <w:rsid w:val="00023740"/>
    <w:rsid w:val="000238F1"/>
    <w:rsid w:val="0002392F"/>
    <w:rsid w:val="00023BD9"/>
    <w:rsid w:val="00023CD1"/>
    <w:rsid w:val="00023D59"/>
    <w:rsid w:val="00023E7B"/>
    <w:rsid w:val="00023FC3"/>
    <w:rsid w:val="0002420B"/>
    <w:rsid w:val="0002420E"/>
    <w:rsid w:val="0002453A"/>
    <w:rsid w:val="00024EDF"/>
    <w:rsid w:val="0002504B"/>
    <w:rsid w:val="000250C5"/>
    <w:rsid w:val="0002557C"/>
    <w:rsid w:val="00025C4D"/>
    <w:rsid w:val="00025D87"/>
    <w:rsid w:val="0002634C"/>
    <w:rsid w:val="0002659D"/>
    <w:rsid w:val="00026987"/>
    <w:rsid w:val="00026A76"/>
    <w:rsid w:val="00026AAF"/>
    <w:rsid w:val="0002729B"/>
    <w:rsid w:val="000275C2"/>
    <w:rsid w:val="00027941"/>
    <w:rsid w:val="00027C2A"/>
    <w:rsid w:val="00027DF1"/>
    <w:rsid w:val="00030286"/>
    <w:rsid w:val="000309D2"/>
    <w:rsid w:val="00030AC7"/>
    <w:rsid w:val="00030D96"/>
    <w:rsid w:val="00030F3E"/>
    <w:rsid w:val="0003141B"/>
    <w:rsid w:val="00031648"/>
    <w:rsid w:val="00031A5E"/>
    <w:rsid w:val="00031F9F"/>
    <w:rsid w:val="00032255"/>
    <w:rsid w:val="00032764"/>
    <w:rsid w:val="00032A13"/>
    <w:rsid w:val="00032D08"/>
    <w:rsid w:val="00033116"/>
    <w:rsid w:val="0003345F"/>
    <w:rsid w:val="000339C4"/>
    <w:rsid w:val="00033AD6"/>
    <w:rsid w:val="00033DA1"/>
    <w:rsid w:val="00033E88"/>
    <w:rsid w:val="00033F03"/>
    <w:rsid w:val="000340E1"/>
    <w:rsid w:val="0003421D"/>
    <w:rsid w:val="00034234"/>
    <w:rsid w:val="00034416"/>
    <w:rsid w:val="00034441"/>
    <w:rsid w:val="0003445C"/>
    <w:rsid w:val="00034584"/>
    <w:rsid w:val="000346A8"/>
    <w:rsid w:val="0003484D"/>
    <w:rsid w:val="000348AE"/>
    <w:rsid w:val="00034AE4"/>
    <w:rsid w:val="00034D5F"/>
    <w:rsid w:val="000350D7"/>
    <w:rsid w:val="0003511A"/>
    <w:rsid w:val="00035165"/>
    <w:rsid w:val="000355BB"/>
    <w:rsid w:val="00035BC9"/>
    <w:rsid w:val="00036067"/>
    <w:rsid w:val="0003666F"/>
    <w:rsid w:val="000368A6"/>
    <w:rsid w:val="00036D7E"/>
    <w:rsid w:val="00036FCC"/>
    <w:rsid w:val="00037174"/>
    <w:rsid w:val="0003738F"/>
    <w:rsid w:val="000373DB"/>
    <w:rsid w:val="00037755"/>
    <w:rsid w:val="00037B15"/>
    <w:rsid w:val="00037FE6"/>
    <w:rsid w:val="000402B2"/>
    <w:rsid w:val="0004043A"/>
    <w:rsid w:val="00040C0F"/>
    <w:rsid w:val="00040DA5"/>
    <w:rsid w:val="00041077"/>
    <w:rsid w:val="000411DC"/>
    <w:rsid w:val="00041479"/>
    <w:rsid w:val="00041763"/>
    <w:rsid w:val="000419CE"/>
    <w:rsid w:val="00041A16"/>
    <w:rsid w:val="00041AA3"/>
    <w:rsid w:val="00041CD3"/>
    <w:rsid w:val="00041D6A"/>
    <w:rsid w:val="0004217A"/>
    <w:rsid w:val="00042440"/>
    <w:rsid w:val="000426BE"/>
    <w:rsid w:val="00042735"/>
    <w:rsid w:val="00043114"/>
    <w:rsid w:val="000431C0"/>
    <w:rsid w:val="00043643"/>
    <w:rsid w:val="0004373B"/>
    <w:rsid w:val="00043802"/>
    <w:rsid w:val="00043B7C"/>
    <w:rsid w:val="0004446A"/>
    <w:rsid w:val="000444C8"/>
    <w:rsid w:val="0004470C"/>
    <w:rsid w:val="000447F8"/>
    <w:rsid w:val="00044C29"/>
    <w:rsid w:val="00044C85"/>
    <w:rsid w:val="000453C2"/>
    <w:rsid w:val="00045531"/>
    <w:rsid w:val="00045736"/>
    <w:rsid w:val="000459B7"/>
    <w:rsid w:val="00045E4A"/>
    <w:rsid w:val="0004608E"/>
    <w:rsid w:val="00046140"/>
    <w:rsid w:val="00046689"/>
    <w:rsid w:val="0004677A"/>
    <w:rsid w:val="0004684B"/>
    <w:rsid w:val="00046A12"/>
    <w:rsid w:val="00046A70"/>
    <w:rsid w:val="00046BE3"/>
    <w:rsid w:val="000470DB"/>
    <w:rsid w:val="000477EA"/>
    <w:rsid w:val="00047AFB"/>
    <w:rsid w:val="00047E07"/>
    <w:rsid w:val="00047EE4"/>
    <w:rsid w:val="00047F94"/>
    <w:rsid w:val="0005014D"/>
    <w:rsid w:val="000504E2"/>
    <w:rsid w:val="00050698"/>
    <w:rsid w:val="00050933"/>
    <w:rsid w:val="0005094A"/>
    <w:rsid w:val="00050A01"/>
    <w:rsid w:val="00050A42"/>
    <w:rsid w:val="00050EBE"/>
    <w:rsid w:val="00051074"/>
    <w:rsid w:val="000514EE"/>
    <w:rsid w:val="000515BA"/>
    <w:rsid w:val="00051C2B"/>
    <w:rsid w:val="00051CAF"/>
    <w:rsid w:val="00052D86"/>
    <w:rsid w:val="0005306F"/>
    <w:rsid w:val="00053074"/>
    <w:rsid w:val="000536C6"/>
    <w:rsid w:val="0005370E"/>
    <w:rsid w:val="000538DC"/>
    <w:rsid w:val="00053F16"/>
    <w:rsid w:val="00053FB5"/>
    <w:rsid w:val="0005408B"/>
    <w:rsid w:val="000540E3"/>
    <w:rsid w:val="000541D7"/>
    <w:rsid w:val="000543C6"/>
    <w:rsid w:val="000544B5"/>
    <w:rsid w:val="000544D5"/>
    <w:rsid w:val="000547D5"/>
    <w:rsid w:val="000548AC"/>
    <w:rsid w:val="00054A9A"/>
    <w:rsid w:val="00054CAA"/>
    <w:rsid w:val="00054DBE"/>
    <w:rsid w:val="00054DCC"/>
    <w:rsid w:val="00054F31"/>
    <w:rsid w:val="0005612D"/>
    <w:rsid w:val="000566AC"/>
    <w:rsid w:val="00056736"/>
    <w:rsid w:val="00056F77"/>
    <w:rsid w:val="000579AC"/>
    <w:rsid w:val="00057A0E"/>
    <w:rsid w:val="00057B2A"/>
    <w:rsid w:val="00060652"/>
    <w:rsid w:val="000608D4"/>
    <w:rsid w:val="00060C61"/>
    <w:rsid w:val="00060CCA"/>
    <w:rsid w:val="0006111B"/>
    <w:rsid w:val="00061212"/>
    <w:rsid w:val="0006146C"/>
    <w:rsid w:val="0006167C"/>
    <w:rsid w:val="000617FA"/>
    <w:rsid w:val="00061DAC"/>
    <w:rsid w:val="00061EB8"/>
    <w:rsid w:val="00061EE4"/>
    <w:rsid w:val="0006212E"/>
    <w:rsid w:val="000621A5"/>
    <w:rsid w:val="00062DC5"/>
    <w:rsid w:val="0006344C"/>
    <w:rsid w:val="000638A2"/>
    <w:rsid w:val="00063DDA"/>
    <w:rsid w:val="000640AA"/>
    <w:rsid w:val="000642A2"/>
    <w:rsid w:val="00064602"/>
    <w:rsid w:val="00064B05"/>
    <w:rsid w:val="00065083"/>
    <w:rsid w:val="000650C1"/>
    <w:rsid w:val="0006532D"/>
    <w:rsid w:val="00065421"/>
    <w:rsid w:val="00065590"/>
    <w:rsid w:val="00065964"/>
    <w:rsid w:val="00066771"/>
    <w:rsid w:val="0006684E"/>
    <w:rsid w:val="00066BD5"/>
    <w:rsid w:val="00066F67"/>
    <w:rsid w:val="000673AD"/>
    <w:rsid w:val="0006758E"/>
    <w:rsid w:val="00067A7F"/>
    <w:rsid w:val="00067A96"/>
    <w:rsid w:val="00067B9C"/>
    <w:rsid w:val="000701F8"/>
    <w:rsid w:val="00070454"/>
    <w:rsid w:val="000704E3"/>
    <w:rsid w:val="000705DB"/>
    <w:rsid w:val="0007074F"/>
    <w:rsid w:val="00070985"/>
    <w:rsid w:val="000709C1"/>
    <w:rsid w:val="00070CF3"/>
    <w:rsid w:val="000711B0"/>
    <w:rsid w:val="00071723"/>
    <w:rsid w:val="00071B8B"/>
    <w:rsid w:val="00071D04"/>
    <w:rsid w:val="00072A2A"/>
    <w:rsid w:val="00073326"/>
    <w:rsid w:val="00073820"/>
    <w:rsid w:val="000739FA"/>
    <w:rsid w:val="0007401F"/>
    <w:rsid w:val="00074041"/>
    <w:rsid w:val="00074087"/>
    <w:rsid w:val="00074354"/>
    <w:rsid w:val="00074467"/>
    <w:rsid w:val="00074507"/>
    <w:rsid w:val="0007495A"/>
    <w:rsid w:val="0007497D"/>
    <w:rsid w:val="00074A27"/>
    <w:rsid w:val="00074A98"/>
    <w:rsid w:val="00074E40"/>
    <w:rsid w:val="00074FE4"/>
    <w:rsid w:val="00075277"/>
    <w:rsid w:val="000758EF"/>
    <w:rsid w:val="000760AC"/>
    <w:rsid w:val="00076128"/>
    <w:rsid w:val="0007646C"/>
    <w:rsid w:val="00076746"/>
    <w:rsid w:val="00076966"/>
    <w:rsid w:val="00076DDE"/>
    <w:rsid w:val="000770D5"/>
    <w:rsid w:val="00077511"/>
    <w:rsid w:val="00077867"/>
    <w:rsid w:val="00077A5D"/>
    <w:rsid w:val="00077CB9"/>
    <w:rsid w:val="00077E87"/>
    <w:rsid w:val="0008011B"/>
    <w:rsid w:val="00080141"/>
    <w:rsid w:val="000801CC"/>
    <w:rsid w:val="00080308"/>
    <w:rsid w:val="00080838"/>
    <w:rsid w:val="0008185A"/>
    <w:rsid w:val="000818F4"/>
    <w:rsid w:val="00081A82"/>
    <w:rsid w:val="00082009"/>
    <w:rsid w:val="000824C1"/>
    <w:rsid w:val="00082AE1"/>
    <w:rsid w:val="00082F29"/>
    <w:rsid w:val="000831E8"/>
    <w:rsid w:val="0008373E"/>
    <w:rsid w:val="00083A00"/>
    <w:rsid w:val="00083B9C"/>
    <w:rsid w:val="00083C24"/>
    <w:rsid w:val="00083C7E"/>
    <w:rsid w:val="00083F35"/>
    <w:rsid w:val="0008470B"/>
    <w:rsid w:val="00084896"/>
    <w:rsid w:val="00084935"/>
    <w:rsid w:val="00084D30"/>
    <w:rsid w:val="00085475"/>
    <w:rsid w:val="000859AC"/>
    <w:rsid w:val="00085D43"/>
    <w:rsid w:val="00085D61"/>
    <w:rsid w:val="00086092"/>
    <w:rsid w:val="0008632F"/>
    <w:rsid w:val="000864F5"/>
    <w:rsid w:val="000865F9"/>
    <w:rsid w:val="000868AD"/>
    <w:rsid w:val="00086933"/>
    <w:rsid w:val="00086B3A"/>
    <w:rsid w:val="00086E2C"/>
    <w:rsid w:val="00086EE4"/>
    <w:rsid w:val="000870CE"/>
    <w:rsid w:val="00087270"/>
    <w:rsid w:val="0008790C"/>
    <w:rsid w:val="00087A72"/>
    <w:rsid w:val="00087B2A"/>
    <w:rsid w:val="00087E90"/>
    <w:rsid w:val="00090731"/>
    <w:rsid w:val="00090D18"/>
    <w:rsid w:val="00090F60"/>
    <w:rsid w:val="00090FF1"/>
    <w:rsid w:val="00091085"/>
    <w:rsid w:val="0009113C"/>
    <w:rsid w:val="000911D4"/>
    <w:rsid w:val="000911FF"/>
    <w:rsid w:val="0009195F"/>
    <w:rsid w:val="00091C84"/>
    <w:rsid w:val="0009257B"/>
    <w:rsid w:val="00092778"/>
    <w:rsid w:val="00092873"/>
    <w:rsid w:val="00092A3E"/>
    <w:rsid w:val="00092C22"/>
    <w:rsid w:val="00093047"/>
    <w:rsid w:val="000932F1"/>
    <w:rsid w:val="0009367C"/>
    <w:rsid w:val="000937C5"/>
    <w:rsid w:val="0009399C"/>
    <w:rsid w:val="000940FC"/>
    <w:rsid w:val="00094949"/>
    <w:rsid w:val="000949D9"/>
    <w:rsid w:val="00094F39"/>
    <w:rsid w:val="00094F8B"/>
    <w:rsid w:val="0009526D"/>
    <w:rsid w:val="000957D3"/>
    <w:rsid w:val="00095C2E"/>
    <w:rsid w:val="00095DE0"/>
    <w:rsid w:val="00095F7E"/>
    <w:rsid w:val="000964BF"/>
    <w:rsid w:val="00096EF7"/>
    <w:rsid w:val="0009725D"/>
    <w:rsid w:val="000973AA"/>
    <w:rsid w:val="00097CE7"/>
    <w:rsid w:val="00097DD3"/>
    <w:rsid w:val="00097E94"/>
    <w:rsid w:val="000A0D47"/>
    <w:rsid w:val="000A10C7"/>
    <w:rsid w:val="000A12F0"/>
    <w:rsid w:val="000A1DFB"/>
    <w:rsid w:val="000A1E82"/>
    <w:rsid w:val="000A1F0E"/>
    <w:rsid w:val="000A1FD1"/>
    <w:rsid w:val="000A20D0"/>
    <w:rsid w:val="000A2454"/>
    <w:rsid w:val="000A2572"/>
    <w:rsid w:val="000A2803"/>
    <w:rsid w:val="000A2837"/>
    <w:rsid w:val="000A2AF0"/>
    <w:rsid w:val="000A2DFC"/>
    <w:rsid w:val="000A372B"/>
    <w:rsid w:val="000A3D4A"/>
    <w:rsid w:val="000A4388"/>
    <w:rsid w:val="000A47BF"/>
    <w:rsid w:val="000A4810"/>
    <w:rsid w:val="000A4C0D"/>
    <w:rsid w:val="000A51EC"/>
    <w:rsid w:val="000A5688"/>
    <w:rsid w:val="000A57FE"/>
    <w:rsid w:val="000A5A70"/>
    <w:rsid w:val="000A5E18"/>
    <w:rsid w:val="000A6116"/>
    <w:rsid w:val="000A62CA"/>
    <w:rsid w:val="000A68C3"/>
    <w:rsid w:val="000A6E03"/>
    <w:rsid w:val="000A7686"/>
    <w:rsid w:val="000A7785"/>
    <w:rsid w:val="000A7928"/>
    <w:rsid w:val="000A7A3C"/>
    <w:rsid w:val="000A7DAF"/>
    <w:rsid w:val="000A7F35"/>
    <w:rsid w:val="000A7F83"/>
    <w:rsid w:val="000B07FA"/>
    <w:rsid w:val="000B0AD0"/>
    <w:rsid w:val="000B148F"/>
    <w:rsid w:val="000B15DA"/>
    <w:rsid w:val="000B1763"/>
    <w:rsid w:val="000B1862"/>
    <w:rsid w:val="000B1B6A"/>
    <w:rsid w:val="000B1DC7"/>
    <w:rsid w:val="000B1DFB"/>
    <w:rsid w:val="000B2544"/>
    <w:rsid w:val="000B27A1"/>
    <w:rsid w:val="000B29C7"/>
    <w:rsid w:val="000B2AC8"/>
    <w:rsid w:val="000B30C0"/>
    <w:rsid w:val="000B30C6"/>
    <w:rsid w:val="000B360B"/>
    <w:rsid w:val="000B3871"/>
    <w:rsid w:val="000B3A1B"/>
    <w:rsid w:val="000B3B0E"/>
    <w:rsid w:val="000B3C00"/>
    <w:rsid w:val="000B3FE6"/>
    <w:rsid w:val="000B431B"/>
    <w:rsid w:val="000B507A"/>
    <w:rsid w:val="000B5EC5"/>
    <w:rsid w:val="000B62D9"/>
    <w:rsid w:val="000B6C13"/>
    <w:rsid w:val="000B6F2D"/>
    <w:rsid w:val="000B7013"/>
    <w:rsid w:val="000B794D"/>
    <w:rsid w:val="000B79C3"/>
    <w:rsid w:val="000C01AD"/>
    <w:rsid w:val="000C0547"/>
    <w:rsid w:val="000C059D"/>
    <w:rsid w:val="000C0AD5"/>
    <w:rsid w:val="000C10F7"/>
    <w:rsid w:val="000C13C0"/>
    <w:rsid w:val="000C1554"/>
    <w:rsid w:val="000C162A"/>
    <w:rsid w:val="000C197B"/>
    <w:rsid w:val="000C2152"/>
    <w:rsid w:val="000C221C"/>
    <w:rsid w:val="000C23A4"/>
    <w:rsid w:val="000C23F0"/>
    <w:rsid w:val="000C25DD"/>
    <w:rsid w:val="000C3C4F"/>
    <w:rsid w:val="000C411A"/>
    <w:rsid w:val="000C44FD"/>
    <w:rsid w:val="000C4A80"/>
    <w:rsid w:val="000C4BF6"/>
    <w:rsid w:val="000C4EAF"/>
    <w:rsid w:val="000C5320"/>
    <w:rsid w:val="000C5576"/>
    <w:rsid w:val="000C5726"/>
    <w:rsid w:val="000C5AAA"/>
    <w:rsid w:val="000C5CB9"/>
    <w:rsid w:val="000C615C"/>
    <w:rsid w:val="000C63BF"/>
    <w:rsid w:val="000C6664"/>
    <w:rsid w:val="000C6772"/>
    <w:rsid w:val="000C6B52"/>
    <w:rsid w:val="000C70A5"/>
    <w:rsid w:val="000C71BB"/>
    <w:rsid w:val="000C7323"/>
    <w:rsid w:val="000C76D5"/>
    <w:rsid w:val="000C7A15"/>
    <w:rsid w:val="000C7C5E"/>
    <w:rsid w:val="000C7D37"/>
    <w:rsid w:val="000C7E2D"/>
    <w:rsid w:val="000C7F14"/>
    <w:rsid w:val="000D061A"/>
    <w:rsid w:val="000D0758"/>
    <w:rsid w:val="000D0CBD"/>
    <w:rsid w:val="000D0D64"/>
    <w:rsid w:val="000D0DE2"/>
    <w:rsid w:val="000D0E41"/>
    <w:rsid w:val="000D0F82"/>
    <w:rsid w:val="000D1634"/>
    <w:rsid w:val="000D18BD"/>
    <w:rsid w:val="000D1FCC"/>
    <w:rsid w:val="000D21D6"/>
    <w:rsid w:val="000D263C"/>
    <w:rsid w:val="000D28A9"/>
    <w:rsid w:val="000D2D74"/>
    <w:rsid w:val="000D2FD4"/>
    <w:rsid w:val="000D3289"/>
    <w:rsid w:val="000D34F8"/>
    <w:rsid w:val="000D34FE"/>
    <w:rsid w:val="000D3823"/>
    <w:rsid w:val="000D3B40"/>
    <w:rsid w:val="000D3B92"/>
    <w:rsid w:val="000D3F70"/>
    <w:rsid w:val="000D4111"/>
    <w:rsid w:val="000D41C0"/>
    <w:rsid w:val="000D41F9"/>
    <w:rsid w:val="000D4A5A"/>
    <w:rsid w:val="000D4CD3"/>
    <w:rsid w:val="000D50BA"/>
    <w:rsid w:val="000D53D1"/>
    <w:rsid w:val="000D56C7"/>
    <w:rsid w:val="000D5A0D"/>
    <w:rsid w:val="000D5C69"/>
    <w:rsid w:val="000D5E8F"/>
    <w:rsid w:val="000D60B0"/>
    <w:rsid w:val="000D645A"/>
    <w:rsid w:val="000D653D"/>
    <w:rsid w:val="000D6AA8"/>
    <w:rsid w:val="000D6CE6"/>
    <w:rsid w:val="000D6FBD"/>
    <w:rsid w:val="000D7327"/>
    <w:rsid w:val="000D7364"/>
    <w:rsid w:val="000D73BD"/>
    <w:rsid w:val="000D750C"/>
    <w:rsid w:val="000D7619"/>
    <w:rsid w:val="000D7923"/>
    <w:rsid w:val="000D7992"/>
    <w:rsid w:val="000D7A87"/>
    <w:rsid w:val="000E0378"/>
    <w:rsid w:val="000E0551"/>
    <w:rsid w:val="000E06C7"/>
    <w:rsid w:val="000E0706"/>
    <w:rsid w:val="000E0A2E"/>
    <w:rsid w:val="000E0AB6"/>
    <w:rsid w:val="000E0CDC"/>
    <w:rsid w:val="000E0D12"/>
    <w:rsid w:val="000E0E61"/>
    <w:rsid w:val="000E0E72"/>
    <w:rsid w:val="000E12F3"/>
    <w:rsid w:val="000E12FA"/>
    <w:rsid w:val="000E1801"/>
    <w:rsid w:val="000E190F"/>
    <w:rsid w:val="000E26AD"/>
    <w:rsid w:val="000E27C4"/>
    <w:rsid w:val="000E27EF"/>
    <w:rsid w:val="000E2957"/>
    <w:rsid w:val="000E2B25"/>
    <w:rsid w:val="000E34CC"/>
    <w:rsid w:val="000E3774"/>
    <w:rsid w:val="000E37CD"/>
    <w:rsid w:val="000E3985"/>
    <w:rsid w:val="000E3A28"/>
    <w:rsid w:val="000E3C59"/>
    <w:rsid w:val="000E3F9B"/>
    <w:rsid w:val="000E4629"/>
    <w:rsid w:val="000E484B"/>
    <w:rsid w:val="000E51CE"/>
    <w:rsid w:val="000E51EC"/>
    <w:rsid w:val="000E5228"/>
    <w:rsid w:val="000E54E4"/>
    <w:rsid w:val="000E5A04"/>
    <w:rsid w:val="000E5F22"/>
    <w:rsid w:val="000E5F75"/>
    <w:rsid w:val="000E5FCF"/>
    <w:rsid w:val="000E672E"/>
    <w:rsid w:val="000E67E2"/>
    <w:rsid w:val="000E6881"/>
    <w:rsid w:val="000E68C3"/>
    <w:rsid w:val="000E6C30"/>
    <w:rsid w:val="000E71DE"/>
    <w:rsid w:val="000E72AA"/>
    <w:rsid w:val="000E7483"/>
    <w:rsid w:val="000E7644"/>
    <w:rsid w:val="000E7E1E"/>
    <w:rsid w:val="000F0183"/>
    <w:rsid w:val="000F0360"/>
    <w:rsid w:val="000F0752"/>
    <w:rsid w:val="000F07E1"/>
    <w:rsid w:val="000F0819"/>
    <w:rsid w:val="000F0A78"/>
    <w:rsid w:val="000F0EC1"/>
    <w:rsid w:val="000F1001"/>
    <w:rsid w:val="000F11E7"/>
    <w:rsid w:val="000F1284"/>
    <w:rsid w:val="000F13D1"/>
    <w:rsid w:val="000F17BD"/>
    <w:rsid w:val="000F1D63"/>
    <w:rsid w:val="000F2133"/>
    <w:rsid w:val="000F2A17"/>
    <w:rsid w:val="000F34CE"/>
    <w:rsid w:val="000F3535"/>
    <w:rsid w:val="000F3625"/>
    <w:rsid w:val="000F39D3"/>
    <w:rsid w:val="000F3A0F"/>
    <w:rsid w:val="000F3BC2"/>
    <w:rsid w:val="000F3F8C"/>
    <w:rsid w:val="000F44CD"/>
    <w:rsid w:val="000F472E"/>
    <w:rsid w:val="000F49B6"/>
    <w:rsid w:val="000F4D58"/>
    <w:rsid w:val="000F525D"/>
    <w:rsid w:val="000F5369"/>
    <w:rsid w:val="000F5391"/>
    <w:rsid w:val="000F5FBF"/>
    <w:rsid w:val="000F60AC"/>
    <w:rsid w:val="000F6132"/>
    <w:rsid w:val="000F70A0"/>
    <w:rsid w:val="000F71C0"/>
    <w:rsid w:val="000F72C6"/>
    <w:rsid w:val="000F7359"/>
    <w:rsid w:val="000F73A5"/>
    <w:rsid w:val="000F7406"/>
    <w:rsid w:val="000F75D3"/>
    <w:rsid w:val="000F7718"/>
    <w:rsid w:val="000F7ACC"/>
    <w:rsid w:val="001002A1"/>
    <w:rsid w:val="00100408"/>
    <w:rsid w:val="0010058B"/>
    <w:rsid w:val="001006E9"/>
    <w:rsid w:val="00100816"/>
    <w:rsid w:val="00100C69"/>
    <w:rsid w:val="00101177"/>
    <w:rsid w:val="001015FD"/>
    <w:rsid w:val="00101AE0"/>
    <w:rsid w:val="00101C2D"/>
    <w:rsid w:val="00101D8D"/>
    <w:rsid w:val="00102406"/>
    <w:rsid w:val="00102496"/>
    <w:rsid w:val="00102761"/>
    <w:rsid w:val="001029BE"/>
    <w:rsid w:val="00102A41"/>
    <w:rsid w:val="00103090"/>
    <w:rsid w:val="00103143"/>
    <w:rsid w:val="001031D3"/>
    <w:rsid w:val="00103916"/>
    <w:rsid w:val="00103B3C"/>
    <w:rsid w:val="001046AD"/>
    <w:rsid w:val="001046BE"/>
    <w:rsid w:val="0010482E"/>
    <w:rsid w:val="00104B0F"/>
    <w:rsid w:val="00105062"/>
    <w:rsid w:val="0010541D"/>
    <w:rsid w:val="001054DF"/>
    <w:rsid w:val="00105569"/>
    <w:rsid w:val="001056B3"/>
    <w:rsid w:val="00105942"/>
    <w:rsid w:val="00105970"/>
    <w:rsid w:val="00105BA3"/>
    <w:rsid w:val="00105F1D"/>
    <w:rsid w:val="00105F9D"/>
    <w:rsid w:val="001063D0"/>
    <w:rsid w:val="0010652A"/>
    <w:rsid w:val="00106BAF"/>
    <w:rsid w:val="00106BD1"/>
    <w:rsid w:val="0010711F"/>
    <w:rsid w:val="00107141"/>
    <w:rsid w:val="0010743F"/>
    <w:rsid w:val="001074F0"/>
    <w:rsid w:val="00107E81"/>
    <w:rsid w:val="0011003C"/>
    <w:rsid w:val="00110FD1"/>
    <w:rsid w:val="00111051"/>
    <w:rsid w:val="001113EF"/>
    <w:rsid w:val="00111464"/>
    <w:rsid w:val="0011163F"/>
    <w:rsid w:val="00111792"/>
    <w:rsid w:val="00111868"/>
    <w:rsid w:val="00112045"/>
    <w:rsid w:val="00112435"/>
    <w:rsid w:val="001124E6"/>
    <w:rsid w:val="00112C56"/>
    <w:rsid w:val="001130B4"/>
    <w:rsid w:val="001130F3"/>
    <w:rsid w:val="00113556"/>
    <w:rsid w:val="00113799"/>
    <w:rsid w:val="00113BD1"/>
    <w:rsid w:val="00113D75"/>
    <w:rsid w:val="00113F04"/>
    <w:rsid w:val="00113F13"/>
    <w:rsid w:val="0011419B"/>
    <w:rsid w:val="0011424B"/>
    <w:rsid w:val="001149AD"/>
    <w:rsid w:val="00114A13"/>
    <w:rsid w:val="00114D68"/>
    <w:rsid w:val="00114DBD"/>
    <w:rsid w:val="00114E7F"/>
    <w:rsid w:val="00115269"/>
    <w:rsid w:val="0011577C"/>
    <w:rsid w:val="00115CBE"/>
    <w:rsid w:val="00116054"/>
    <w:rsid w:val="001163CB"/>
    <w:rsid w:val="00116441"/>
    <w:rsid w:val="00116945"/>
    <w:rsid w:val="0011698F"/>
    <w:rsid w:val="00116DC2"/>
    <w:rsid w:val="00116F15"/>
    <w:rsid w:val="00117390"/>
    <w:rsid w:val="0011744A"/>
    <w:rsid w:val="00117968"/>
    <w:rsid w:val="00117EF8"/>
    <w:rsid w:val="0012059A"/>
    <w:rsid w:val="001208CC"/>
    <w:rsid w:val="00121024"/>
    <w:rsid w:val="00121214"/>
    <w:rsid w:val="00121856"/>
    <w:rsid w:val="00121B4E"/>
    <w:rsid w:val="00121F5C"/>
    <w:rsid w:val="00122387"/>
    <w:rsid w:val="001224E3"/>
    <w:rsid w:val="00122549"/>
    <w:rsid w:val="0012275B"/>
    <w:rsid w:val="00122936"/>
    <w:rsid w:val="00122BB2"/>
    <w:rsid w:val="00122E97"/>
    <w:rsid w:val="00122FE8"/>
    <w:rsid w:val="00123812"/>
    <w:rsid w:val="00123CE7"/>
    <w:rsid w:val="00123D86"/>
    <w:rsid w:val="001245C1"/>
    <w:rsid w:val="00124858"/>
    <w:rsid w:val="00125208"/>
    <w:rsid w:val="001254FB"/>
    <w:rsid w:val="00125862"/>
    <w:rsid w:val="0012597F"/>
    <w:rsid w:val="001259E0"/>
    <w:rsid w:val="00125C72"/>
    <w:rsid w:val="0012609A"/>
    <w:rsid w:val="00126169"/>
    <w:rsid w:val="001261E6"/>
    <w:rsid w:val="001262AD"/>
    <w:rsid w:val="00126469"/>
    <w:rsid w:val="001264A9"/>
    <w:rsid w:val="0012653A"/>
    <w:rsid w:val="001267C0"/>
    <w:rsid w:val="00126900"/>
    <w:rsid w:val="00126A97"/>
    <w:rsid w:val="00126C6A"/>
    <w:rsid w:val="00127151"/>
    <w:rsid w:val="001271BD"/>
    <w:rsid w:val="0012728F"/>
    <w:rsid w:val="001276D8"/>
    <w:rsid w:val="001278C4"/>
    <w:rsid w:val="00130108"/>
    <w:rsid w:val="00130246"/>
    <w:rsid w:val="00130521"/>
    <w:rsid w:val="00130565"/>
    <w:rsid w:val="00130A28"/>
    <w:rsid w:val="00130B81"/>
    <w:rsid w:val="0013135F"/>
    <w:rsid w:val="00131A30"/>
    <w:rsid w:val="00132ABC"/>
    <w:rsid w:val="00132B63"/>
    <w:rsid w:val="00132BA6"/>
    <w:rsid w:val="00132D77"/>
    <w:rsid w:val="00132E0D"/>
    <w:rsid w:val="0013311E"/>
    <w:rsid w:val="00133B1B"/>
    <w:rsid w:val="00133E6D"/>
    <w:rsid w:val="00133ED1"/>
    <w:rsid w:val="00134486"/>
    <w:rsid w:val="00134F5E"/>
    <w:rsid w:val="00135018"/>
    <w:rsid w:val="001354F8"/>
    <w:rsid w:val="0013555D"/>
    <w:rsid w:val="00135A27"/>
    <w:rsid w:val="00135A77"/>
    <w:rsid w:val="00135F49"/>
    <w:rsid w:val="0013604B"/>
    <w:rsid w:val="00136051"/>
    <w:rsid w:val="001361FC"/>
    <w:rsid w:val="00136310"/>
    <w:rsid w:val="00136660"/>
    <w:rsid w:val="00136889"/>
    <w:rsid w:val="00136E5D"/>
    <w:rsid w:val="001374F7"/>
    <w:rsid w:val="001378C2"/>
    <w:rsid w:val="001379FD"/>
    <w:rsid w:val="00137A76"/>
    <w:rsid w:val="00140B4E"/>
    <w:rsid w:val="0014135D"/>
    <w:rsid w:val="00141818"/>
    <w:rsid w:val="00141CA1"/>
    <w:rsid w:val="00142035"/>
    <w:rsid w:val="0014209C"/>
    <w:rsid w:val="0014213D"/>
    <w:rsid w:val="00142187"/>
    <w:rsid w:val="00142275"/>
    <w:rsid w:val="001422C1"/>
    <w:rsid w:val="001428CA"/>
    <w:rsid w:val="00143401"/>
    <w:rsid w:val="0014356E"/>
    <w:rsid w:val="001438E1"/>
    <w:rsid w:val="00143BDA"/>
    <w:rsid w:val="00143E98"/>
    <w:rsid w:val="001441BA"/>
    <w:rsid w:val="0014421C"/>
    <w:rsid w:val="00144247"/>
    <w:rsid w:val="00144B4B"/>
    <w:rsid w:val="00144C03"/>
    <w:rsid w:val="00144C87"/>
    <w:rsid w:val="00145164"/>
    <w:rsid w:val="00145620"/>
    <w:rsid w:val="00145690"/>
    <w:rsid w:val="00145CE5"/>
    <w:rsid w:val="001461E0"/>
    <w:rsid w:val="00146384"/>
    <w:rsid w:val="00146954"/>
    <w:rsid w:val="001478D1"/>
    <w:rsid w:val="001479AE"/>
    <w:rsid w:val="00147D80"/>
    <w:rsid w:val="00147FC7"/>
    <w:rsid w:val="001500C7"/>
    <w:rsid w:val="00150111"/>
    <w:rsid w:val="001505CD"/>
    <w:rsid w:val="001506BF"/>
    <w:rsid w:val="00150E72"/>
    <w:rsid w:val="00151625"/>
    <w:rsid w:val="00151676"/>
    <w:rsid w:val="00151914"/>
    <w:rsid w:val="001520AF"/>
    <w:rsid w:val="0015219C"/>
    <w:rsid w:val="0015243B"/>
    <w:rsid w:val="00152A37"/>
    <w:rsid w:val="00152AAF"/>
    <w:rsid w:val="00152D38"/>
    <w:rsid w:val="00152E39"/>
    <w:rsid w:val="00153219"/>
    <w:rsid w:val="00153261"/>
    <w:rsid w:val="0015326B"/>
    <w:rsid w:val="001539F7"/>
    <w:rsid w:val="00153A5B"/>
    <w:rsid w:val="00153C21"/>
    <w:rsid w:val="001546F7"/>
    <w:rsid w:val="00155208"/>
    <w:rsid w:val="001553F4"/>
    <w:rsid w:val="0015580E"/>
    <w:rsid w:val="00155CDA"/>
    <w:rsid w:val="00155E6B"/>
    <w:rsid w:val="0015684A"/>
    <w:rsid w:val="00156942"/>
    <w:rsid w:val="00156C73"/>
    <w:rsid w:val="001571E4"/>
    <w:rsid w:val="001577A3"/>
    <w:rsid w:val="001579FB"/>
    <w:rsid w:val="00157CD1"/>
    <w:rsid w:val="00157F33"/>
    <w:rsid w:val="00157FD1"/>
    <w:rsid w:val="00160287"/>
    <w:rsid w:val="0016049C"/>
    <w:rsid w:val="00160826"/>
    <w:rsid w:val="001608B5"/>
    <w:rsid w:val="001608EE"/>
    <w:rsid w:val="00160A22"/>
    <w:rsid w:val="00160CB1"/>
    <w:rsid w:val="00160DF0"/>
    <w:rsid w:val="00160E4A"/>
    <w:rsid w:val="00160FB5"/>
    <w:rsid w:val="00161051"/>
    <w:rsid w:val="00161086"/>
    <w:rsid w:val="001610D7"/>
    <w:rsid w:val="00161C51"/>
    <w:rsid w:val="00162339"/>
    <w:rsid w:val="00162572"/>
    <w:rsid w:val="0016289B"/>
    <w:rsid w:val="00162BDB"/>
    <w:rsid w:val="00162BFA"/>
    <w:rsid w:val="001630CC"/>
    <w:rsid w:val="0016362B"/>
    <w:rsid w:val="00163723"/>
    <w:rsid w:val="001638B0"/>
    <w:rsid w:val="001638E9"/>
    <w:rsid w:val="00163C74"/>
    <w:rsid w:val="00163DA7"/>
    <w:rsid w:val="00163DDC"/>
    <w:rsid w:val="00163DDF"/>
    <w:rsid w:val="001641FD"/>
    <w:rsid w:val="0016477B"/>
    <w:rsid w:val="00164A2D"/>
    <w:rsid w:val="00164F92"/>
    <w:rsid w:val="0016502C"/>
    <w:rsid w:val="00165239"/>
    <w:rsid w:val="00165379"/>
    <w:rsid w:val="001653D9"/>
    <w:rsid w:val="001654B6"/>
    <w:rsid w:val="0016571C"/>
    <w:rsid w:val="00165862"/>
    <w:rsid w:val="00166669"/>
    <w:rsid w:val="00166948"/>
    <w:rsid w:val="001670B9"/>
    <w:rsid w:val="0016735A"/>
    <w:rsid w:val="001673B5"/>
    <w:rsid w:val="001679BE"/>
    <w:rsid w:val="0017014E"/>
    <w:rsid w:val="00170504"/>
    <w:rsid w:val="001706BD"/>
    <w:rsid w:val="0017071C"/>
    <w:rsid w:val="00170C8F"/>
    <w:rsid w:val="00170DD4"/>
    <w:rsid w:val="00170E3A"/>
    <w:rsid w:val="00171F71"/>
    <w:rsid w:val="00171FC7"/>
    <w:rsid w:val="00172396"/>
    <w:rsid w:val="0017259F"/>
    <w:rsid w:val="0017282F"/>
    <w:rsid w:val="00172C81"/>
    <w:rsid w:val="00173603"/>
    <w:rsid w:val="0017375B"/>
    <w:rsid w:val="001737E2"/>
    <w:rsid w:val="001738B3"/>
    <w:rsid w:val="00173B53"/>
    <w:rsid w:val="00173C2C"/>
    <w:rsid w:val="00173C3C"/>
    <w:rsid w:val="00173CDC"/>
    <w:rsid w:val="00173E09"/>
    <w:rsid w:val="001740E2"/>
    <w:rsid w:val="0017447C"/>
    <w:rsid w:val="00174AE6"/>
    <w:rsid w:val="00174D12"/>
    <w:rsid w:val="0017535D"/>
    <w:rsid w:val="00175C92"/>
    <w:rsid w:val="00175F2F"/>
    <w:rsid w:val="00175F86"/>
    <w:rsid w:val="001764C4"/>
    <w:rsid w:val="00176665"/>
    <w:rsid w:val="00176803"/>
    <w:rsid w:val="00176974"/>
    <w:rsid w:val="00176B11"/>
    <w:rsid w:val="00177D7D"/>
    <w:rsid w:val="00177DE1"/>
    <w:rsid w:val="00177EA9"/>
    <w:rsid w:val="00180037"/>
    <w:rsid w:val="001810F5"/>
    <w:rsid w:val="001813E3"/>
    <w:rsid w:val="00181436"/>
    <w:rsid w:val="0018148F"/>
    <w:rsid w:val="001815DD"/>
    <w:rsid w:val="001817A3"/>
    <w:rsid w:val="00181AF0"/>
    <w:rsid w:val="00181B4F"/>
    <w:rsid w:val="00182020"/>
    <w:rsid w:val="001827D3"/>
    <w:rsid w:val="001833EC"/>
    <w:rsid w:val="00183413"/>
    <w:rsid w:val="0018346F"/>
    <w:rsid w:val="00183633"/>
    <w:rsid w:val="00184026"/>
    <w:rsid w:val="001842B5"/>
    <w:rsid w:val="0018430E"/>
    <w:rsid w:val="00184362"/>
    <w:rsid w:val="0018447B"/>
    <w:rsid w:val="001844B7"/>
    <w:rsid w:val="001846CE"/>
    <w:rsid w:val="00184756"/>
    <w:rsid w:val="001847A9"/>
    <w:rsid w:val="00184A93"/>
    <w:rsid w:val="00184ED4"/>
    <w:rsid w:val="00185105"/>
    <w:rsid w:val="0018567F"/>
    <w:rsid w:val="001856AF"/>
    <w:rsid w:val="0018666D"/>
    <w:rsid w:val="00186A79"/>
    <w:rsid w:val="00186D0D"/>
    <w:rsid w:val="00187031"/>
    <w:rsid w:val="001870DB"/>
    <w:rsid w:val="00187244"/>
    <w:rsid w:val="00187B08"/>
    <w:rsid w:val="00187FFA"/>
    <w:rsid w:val="00191C08"/>
    <w:rsid w:val="00191D06"/>
    <w:rsid w:val="00191E00"/>
    <w:rsid w:val="00192276"/>
    <w:rsid w:val="001922F1"/>
    <w:rsid w:val="001927A9"/>
    <w:rsid w:val="00192993"/>
    <w:rsid w:val="00193112"/>
    <w:rsid w:val="001932A0"/>
    <w:rsid w:val="00193332"/>
    <w:rsid w:val="001934C2"/>
    <w:rsid w:val="00193511"/>
    <w:rsid w:val="00193973"/>
    <w:rsid w:val="00193BDE"/>
    <w:rsid w:val="00193C67"/>
    <w:rsid w:val="00193CBA"/>
    <w:rsid w:val="00194C6D"/>
    <w:rsid w:val="00195700"/>
    <w:rsid w:val="001959C8"/>
    <w:rsid w:val="00195FFA"/>
    <w:rsid w:val="00196115"/>
    <w:rsid w:val="001961D3"/>
    <w:rsid w:val="00196397"/>
    <w:rsid w:val="00196710"/>
    <w:rsid w:val="00196770"/>
    <w:rsid w:val="001967A5"/>
    <w:rsid w:val="001969A5"/>
    <w:rsid w:val="00196BEF"/>
    <w:rsid w:val="00197029"/>
    <w:rsid w:val="00197B6E"/>
    <w:rsid w:val="001A008A"/>
    <w:rsid w:val="001A0295"/>
    <w:rsid w:val="001A0445"/>
    <w:rsid w:val="001A05EA"/>
    <w:rsid w:val="001A0A81"/>
    <w:rsid w:val="001A1113"/>
    <w:rsid w:val="001A14C9"/>
    <w:rsid w:val="001A1D39"/>
    <w:rsid w:val="001A1E02"/>
    <w:rsid w:val="001A1EE6"/>
    <w:rsid w:val="001A2060"/>
    <w:rsid w:val="001A30C7"/>
    <w:rsid w:val="001A35BF"/>
    <w:rsid w:val="001A3EBB"/>
    <w:rsid w:val="001A3F69"/>
    <w:rsid w:val="001A477E"/>
    <w:rsid w:val="001A4A7F"/>
    <w:rsid w:val="001A4B45"/>
    <w:rsid w:val="001A4B57"/>
    <w:rsid w:val="001A4D34"/>
    <w:rsid w:val="001A4F00"/>
    <w:rsid w:val="001A52D4"/>
    <w:rsid w:val="001A548C"/>
    <w:rsid w:val="001A55C1"/>
    <w:rsid w:val="001A5F3E"/>
    <w:rsid w:val="001A6257"/>
    <w:rsid w:val="001A642B"/>
    <w:rsid w:val="001A69A3"/>
    <w:rsid w:val="001A69C8"/>
    <w:rsid w:val="001A6A18"/>
    <w:rsid w:val="001A6B75"/>
    <w:rsid w:val="001A70AD"/>
    <w:rsid w:val="001A72ED"/>
    <w:rsid w:val="001A748B"/>
    <w:rsid w:val="001A78F9"/>
    <w:rsid w:val="001B0219"/>
    <w:rsid w:val="001B074B"/>
    <w:rsid w:val="001B0895"/>
    <w:rsid w:val="001B099E"/>
    <w:rsid w:val="001B09EB"/>
    <w:rsid w:val="001B150C"/>
    <w:rsid w:val="001B166D"/>
    <w:rsid w:val="001B1723"/>
    <w:rsid w:val="001B21C6"/>
    <w:rsid w:val="001B2361"/>
    <w:rsid w:val="001B23A5"/>
    <w:rsid w:val="001B24E9"/>
    <w:rsid w:val="001B2567"/>
    <w:rsid w:val="001B2837"/>
    <w:rsid w:val="001B29E8"/>
    <w:rsid w:val="001B2D21"/>
    <w:rsid w:val="001B2E42"/>
    <w:rsid w:val="001B30BE"/>
    <w:rsid w:val="001B3117"/>
    <w:rsid w:val="001B33A4"/>
    <w:rsid w:val="001B38BB"/>
    <w:rsid w:val="001B393E"/>
    <w:rsid w:val="001B3CDD"/>
    <w:rsid w:val="001B3FFD"/>
    <w:rsid w:val="001B4AB0"/>
    <w:rsid w:val="001B4BBD"/>
    <w:rsid w:val="001B4D73"/>
    <w:rsid w:val="001B4F77"/>
    <w:rsid w:val="001B58D0"/>
    <w:rsid w:val="001B59C8"/>
    <w:rsid w:val="001B5A3D"/>
    <w:rsid w:val="001B5C8A"/>
    <w:rsid w:val="001B6061"/>
    <w:rsid w:val="001B6507"/>
    <w:rsid w:val="001B6518"/>
    <w:rsid w:val="001B6712"/>
    <w:rsid w:val="001B6A30"/>
    <w:rsid w:val="001B6B9E"/>
    <w:rsid w:val="001B6D2C"/>
    <w:rsid w:val="001B7040"/>
    <w:rsid w:val="001B72AA"/>
    <w:rsid w:val="001B72CE"/>
    <w:rsid w:val="001B750A"/>
    <w:rsid w:val="001B7948"/>
    <w:rsid w:val="001B7964"/>
    <w:rsid w:val="001B79BD"/>
    <w:rsid w:val="001B7F60"/>
    <w:rsid w:val="001C0588"/>
    <w:rsid w:val="001C085E"/>
    <w:rsid w:val="001C09EC"/>
    <w:rsid w:val="001C10DB"/>
    <w:rsid w:val="001C12B0"/>
    <w:rsid w:val="001C12E3"/>
    <w:rsid w:val="001C1491"/>
    <w:rsid w:val="001C155D"/>
    <w:rsid w:val="001C1828"/>
    <w:rsid w:val="001C22D8"/>
    <w:rsid w:val="001C231B"/>
    <w:rsid w:val="001C262A"/>
    <w:rsid w:val="001C2830"/>
    <w:rsid w:val="001C303F"/>
    <w:rsid w:val="001C32CD"/>
    <w:rsid w:val="001C357C"/>
    <w:rsid w:val="001C3CE7"/>
    <w:rsid w:val="001C3CEB"/>
    <w:rsid w:val="001C3EA4"/>
    <w:rsid w:val="001C3ED5"/>
    <w:rsid w:val="001C44D5"/>
    <w:rsid w:val="001C4DAE"/>
    <w:rsid w:val="001C4FC5"/>
    <w:rsid w:val="001C5DF8"/>
    <w:rsid w:val="001C5E0A"/>
    <w:rsid w:val="001C5FF0"/>
    <w:rsid w:val="001C601D"/>
    <w:rsid w:val="001C6086"/>
    <w:rsid w:val="001C614B"/>
    <w:rsid w:val="001C6343"/>
    <w:rsid w:val="001C6733"/>
    <w:rsid w:val="001C68FD"/>
    <w:rsid w:val="001C6987"/>
    <w:rsid w:val="001C6D30"/>
    <w:rsid w:val="001C6FAB"/>
    <w:rsid w:val="001C740B"/>
    <w:rsid w:val="001C74BD"/>
    <w:rsid w:val="001C77AC"/>
    <w:rsid w:val="001C78D6"/>
    <w:rsid w:val="001D006B"/>
    <w:rsid w:val="001D030D"/>
    <w:rsid w:val="001D05EC"/>
    <w:rsid w:val="001D05FE"/>
    <w:rsid w:val="001D0E43"/>
    <w:rsid w:val="001D0EC3"/>
    <w:rsid w:val="001D1290"/>
    <w:rsid w:val="001D174B"/>
    <w:rsid w:val="001D1C35"/>
    <w:rsid w:val="001D1CB2"/>
    <w:rsid w:val="001D2215"/>
    <w:rsid w:val="001D227B"/>
    <w:rsid w:val="001D27C0"/>
    <w:rsid w:val="001D28D0"/>
    <w:rsid w:val="001D2A1D"/>
    <w:rsid w:val="001D2AF3"/>
    <w:rsid w:val="001D2CC8"/>
    <w:rsid w:val="001D2DF2"/>
    <w:rsid w:val="001D2EC4"/>
    <w:rsid w:val="001D32CC"/>
    <w:rsid w:val="001D3C3B"/>
    <w:rsid w:val="001D3E8B"/>
    <w:rsid w:val="001D4098"/>
    <w:rsid w:val="001D468A"/>
    <w:rsid w:val="001D4708"/>
    <w:rsid w:val="001D4E03"/>
    <w:rsid w:val="001D5366"/>
    <w:rsid w:val="001D5D46"/>
    <w:rsid w:val="001D5F3B"/>
    <w:rsid w:val="001D6320"/>
    <w:rsid w:val="001D6481"/>
    <w:rsid w:val="001D6BF7"/>
    <w:rsid w:val="001D6DB2"/>
    <w:rsid w:val="001D731F"/>
    <w:rsid w:val="001D7CE8"/>
    <w:rsid w:val="001D7CFB"/>
    <w:rsid w:val="001D7E75"/>
    <w:rsid w:val="001E007B"/>
    <w:rsid w:val="001E02FA"/>
    <w:rsid w:val="001E035E"/>
    <w:rsid w:val="001E0E5B"/>
    <w:rsid w:val="001E0FE4"/>
    <w:rsid w:val="001E1DC2"/>
    <w:rsid w:val="001E1E03"/>
    <w:rsid w:val="001E22D6"/>
    <w:rsid w:val="001E2C59"/>
    <w:rsid w:val="001E2E9C"/>
    <w:rsid w:val="001E2EB5"/>
    <w:rsid w:val="001E2F92"/>
    <w:rsid w:val="001E3101"/>
    <w:rsid w:val="001E363C"/>
    <w:rsid w:val="001E388F"/>
    <w:rsid w:val="001E3C67"/>
    <w:rsid w:val="001E40C9"/>
    <w:rsid w:val="001E4190"/>
    <w:rsid w:val="001E49E4"/>
    <w:rsid w:val="001E4AED"/>
    <w:rsid w:val="001E55E3"/>
    <w:rsid w:val="001E581D"/>
    <w:rsid w:val="001E5BCD"/>
    <w:rsid w:val="001E61C2"/>
    <w:rsid w:val="001E63E4"/>
    <w:rsid w:val="001E6602"/>
    <w:rsid w:val="001E7160"/>
    <w:rsid w:val="001E71DF"/>
    <w:rsid w:val="001E7285"/>
    <w:rsid w:val="001E780C"/>
    <w:rsid w:val="001E7B00"/>
    <w:rsid w:val="001E7DAC"/>
    <w:rsid w:val="001F01EA"/>
    <w:rsid w:val="001F05B9"/>
    <w:rsid w:val="001F0795"/>
    <w:rsid w:val="001F08A2"/>
    <w:rsid w:val="001F0B91"/>
    <w:rsid w:val="001F12C9"/>
    <w:rsid w:val="001F1437"/>
    <w:rsid w:val="001F19D2"/>
    <w:rsid w:val="001F1BC3"/>
    <w:rsid w:val="001F230F"/>
    <w:rsid w:val="001F25F7"/>
    <w:rsid w:val="001F2D0E"/>
    <w:rsid w:val="001F2E8F"/>
    <w:rsid w:val="001F30D7"/>
    <w:rsid w:val="001F3135"/>
    <w:rsid w:val="001F33B9"/>
    <w:rsid w:val="001F36FC"/>
    <w:rsid w:val="001F3D57"/>
    <w:rsid w:val="001F3E5D"/>
    <w:rsid w:val="001F3E6D"/>
    <w:rsid w:val="001F3F5E"/>
    <w:rsid w:val="001F435F"/>
    <w:rsid w:val="001F45FF"/>
    <w:rsid w:val="001F47D0"/>
    <w:rsid w:val="001F4968"/>
    <w:rsid w:val="001F4AE1"/>
    <w:rsid w:val="001F509A"/>
    <w:rsid w:val="001F5740"/>
    <w:rsid w:val="001F58B7"/>
    <w:rsid w:val="001F5B2F"/>
    <w:rsid w:val="001F5C31"/>
    <w:rsid w:val="001F5C6F"/>
    <w:rsid w:val="001F6245"/>
    <w:rsid w:val="001F654E"/>
    <w:rsid w:val="001F6A3F"/>
    <w:rsid w:val="001F7113"/>
    <w:rsid w:val="001F7651"/>
    <w:rsid w:val="001F7AA1"/>
    <w:rsid w:val="001F7B05"/>
    <w:rsid w:val="001F7CFA"/>
    <w:rsid w:val="001F7DEA"/>
    <w:rsid w:val="001F7F66"/>
    <w:rsid w:val="0020055E"/>
    <w:rsid w:val="00200749"/>
    <w:rsid w:val="00200840"/>
    <w:rsid w:val="0020087A"/>
    <w:rsid w:val="002008EE"/>
    <w:rsid w:val="00200A1E"/>
    <w:rsid w:val="00201573"/>
    <w:rsid w:val="002018FC"/>
    <w:rsid w:val="00201910"/>
    <w:rsid w:val="00201BB5"/>
    <w:rsid w:val="00201F44"/>
    <w:rsid w:val="0020258F"/>
    <w:rsid w:val="00202C1F"/>
    <w:rsid w:val="00202FA4"/>
    <w:rsid w:val="00203484"/>
    <w:rsid w:val="00203B44"/>
    <w:rsid w:val="002042D1"/>
    <w:rsid w:val="002042DF"/>
    <w:rsid w:val="00204470"/>
    <w:rsid w:val="0020453A"/>
    <w:rsid w:val="0020493C"/>
    <w:rsid w:val="00204F87"/>
    <w:rsid w:val="00204F8F"/>
    <w:rsid w:val="00206374"/>
    <w:rsid w:val="002064A1"/>
    <w:rsid w:val="00206585"/>
    <w:rsid w:val="002065B0"/>
    <w:rsid w:val="00207CFA"/>
    <w:rsid w:val="00210950"/>
    <w:rsid w:val="00210A70"/>
    <w:rsid w:val="00210B0D"/>
    <w:rsid w:val="00210CD6"/>
    <w:rsid w:val="00210F78"/>
    <w:rsid w:val="002111E9"/>
    <w:rsid w:val="00211475"/>
    <w:rsid w:val="00211710"/>
    <w:rsid w:val="0021193C"/>
    <w:rsid w:val="00211985"/>
    <w:rsid w:val="002119F1"/>
    <w:rsid w:val="00212133"/>
    <w:rsid w:val="002124EF"/>
    <w:rsid w:val="0021264F"/>
    <w:rsid w:val="00212ACD"/>
    <w:rsid w:val="00212BE1"/>
    <w:rsid w:val="00212FBD"/>
    <w:rsid w:val="0021311A"/>
    <w:rsid w:val="00213179"/>
    <w:rsid w:val="002135CB"/>
    <w:rsid w:val="002135F1"/>
    <w:rsid w:val="002144CB"/>
    <w:rsid w:val="00214D66"/>
    <w:rsid w:val="00214FDA"/>
    <w:rsid w:val="002155FA"/>
    <w:rsid w:val="00215B3A"/>
    <w:rsid w:val="00215EF5"/>
    <w:rsid w:val="00215F02"/>
    <w:rsid w:val="002162FE"/>
    <w:rsid w:val="00216420"/>
    <w:rsid w:val="0021666E"/>
    <w:rsid w:val="002168AC"/>
    <w:rsid w:val="00216C95"/>
    <w:rsid w:val="002172CC"/>
    <w:rsid w:val="002173DC"/>
    <w:rsid w:val="002175F8"/>
    <w:rsid w:val="002176B2"/>
    <w:rsid w:val="0021794F"/>
    <w:rsid w:val="00220478"/>
    <w:rsid w:val="002206CF"/>
    <w:rsid w:val="002207AC"/>
    <w:rsid w:val="00220901"/>
    <w:rsid w:val="00220A0E"/>
    <w:rsid w:val="00220AD3"/>
    <w:rsid w:val="002211AA"/>
    <w:rsid w:val="0022124C"/>
    <w:rsid w:val="00221BEF"/>
    <w:rsid w:val="002220D2"/>
    <w:rsid w:val="00222524"/>
    <w:rsid w:val="00222BF7"/>
    <w:rsid w:val="002235BD"/>
    <w:rsid w:val="0022383D"/>
    <w:rsid w:val="00223AD7"/>
    <w:rsid w:val="002240F1"/>
    <w:rsid w:val="002243CF"/>
    <w:rsid w:val="002246DC"/>
    <w:rsid w:val="00224C06"/>
    <w:rsid w:val="00224C6C"/>
    <w:rsid w:val="0022645F"/>
    <w:rsid w:val="00226809"/>
    <w:rsid w:val="0022687A"/>
    <w:rsid w:val="002268AF"/>
    <w:rsid w:val="00227342"/>
    <w:rsid w:val="002275BB"/>
    <w:rsid w:val="00227981"/>
    <w:rsid w:val="00231B4C"/>
    <w:rsid w:val="0023242F"/>
    <w:rsid w:val="0023259F"/>
    <w:rsid w:val="002327AF"/>
    <w:rsid w:val="00232896"/>
    <w:rsid w:val="00232953"/>
    <w:rsid w:val="002335CE"/>
    <w:rsid w:val="002339B6"/>
    <w:rsid w:val="00233C80"/>
    <w:rsid w:val="00233D50"/>
    <w:rsid w:val="00234208"/>
    <w:rsid w:val="00234816"/>
    <w:rsid w:val="00234827"/>
    <w:rsid w:val="002348CE"/>
    <w:rsid w:val="002349B6"/>
    <w:rsid w:val="002349B8"/>
    <w:rsid w:val="00234F94"/>
    <w:rsid w:val="00235142"/>
    <w:rsid w:val="00235226"/>
    <w:rsid w:val="00235590"/>
    <w:rsid w:val="0023563B"/>
    <w:rsid w:val="00235666"/>
    <w:rsid w:val="0023569E"/>
    <w:rsid w:val="0023585D"/>
    <w:rsid w:val="00235B65"/>
    <w:rsid w:val="002361A3"/>
    <w:rsid w:val="0023630D"/>
    <w:rsid w:val="002366E9"/>
    <w:rsid w:val="0023685E"/>
    <w:rsid w:val="00236C13"/>
    <w:rsid w:val="00236CDE"/>
    <w:rsid w:val="00236D9F"/>
    <w:rsid w:val="002371A3"/>
    <w:rsid w:val="0023785F"/>
    <w:rsid w:val="0024046B"/>
    <w:rsid w:val="002404DE"/>
    <w:rsid w:val="00240588"/>
    <w:rsid w:val="002405DB"/>
    <w:rsid w:val="002408F5"/>
    <w:rsid w:val="00240BB2"/>
    <w:rsid w:val="00240BBC"/>
    <w:rsid w:val="00240E56"/>
    <w:rsid w:val="00240EF9"/>
    <w:rsid w:val="00241018"/>
    <w:rsid w:val="002410A4"/>
    <w:rsid w:val="00241147"/>
    <w:rsid w:val="0024126C"/>
    <w:rsid w:val="002413D7"/>
    <w:rsid w:val="002414F0"/>
    <w:rsid w:val="00241664"/>
    <w:rsid w:val="002418A0"/>
    <w:rsid w:val="002419F6"/>
    <w:rsid w:val="00241CB1"/>
    <w:rsid w:val="00242109"/>
    <w:rsid w:val="0024262B"/>
    <w:rsid w:val="00242737"/>
    <w:rsid w:val="00242B8D"/>
    <w:rsid w:val="002430E0"/>
    <w:rsid w:val="0024328A"/>
    <w:rsid w:val="00243AE0"/>
    <w:rsid w:val="00243EFF"/>
    <w:rsid w:val="00243FA8"/>
    <w:rsid w:val="00244167"/>
    <w:rsid w:val="00244290"/>
    <w:rsid w:val="00244620"/>
    <w:rsid w:val="00244711"/>
    <w:rsid w:val="00244837"/>
    <w:rsid w:val="00244853"/>
    <w:rsid w:val="002449B8"/>
    <w:rsid w:val="00244EC0"/>
    <w:rsid w:val="00245360"/>
    <w:rsid w:val="0024537E"/>
    <w:rsid w:val="0024568E"/>
    <w:rsid w:val="00245832"/>
    <w:rsid w:val="00245967"/>
    <w:rsid w:val="002466EB"/>
    <w:rsid w:val="002469C8"/>
    <w:rsid w:val="00246D39"/>
    <w:rsid w:val="00247315"/>
    <w:rsid w:val="00247528"/>
    <w:rsid w:val="00247570"/>
    <w:rsid w:val="002476DE"/>
    <w:rsid w:val="0024798B"/>
    <w:rsid w:val="00250086"/>
    <w:rsid w:val="002501F9"/>
    <w:rsid w:val="00250647"/>
    <w:rsid w:val="00250999"/>
    <w:rsid w:val="00250E2A"/>
    <w:rsid w:val="002511B9"/>
    <w:rsid w:val="002512FE"/>
    <w:rsid w:val="002514E6"/>
    <w:rsid w:val="002515D2"/>
    <w:rsid w:val="00251B6F"/>
    <w:rsid w:val="00251E83"/>
    <w:rsid w:val="00252014"/>
    <w:rsid w:val="00252237"/>
    <w:rsid w:val="00252359"/>
    <w:rsid w:val="002523C0"/>
    <w:rsid w:val="002525B9"/>
    <w:rsid w:val="00252BB5"/>
    <w:rsid w:val="00252DCD"/>
    <w:rsid w:val="002531F3"/>
    <w:rsid w:val="0025348A"/>
    <w:rsid w:val="00253675"/>
    <w:rsid w:val="002536CD"/>
    <w:rsid w:val="002538A9"/>
    <w:rsid w:val="00253CC1"/>
    <w:rsid w:val="0025423C"/>
    <w:rsid w:val="002546AA"/>
    <w:rsid w:val="00254DBF"/>
    <w:rsid w:val="0025501E"/>
    <w:rsid w:val="00255327"/>
    <w:rsid w:val="00255336"/>
    <w:rsid w:val="00255828"/>
    <w:rsid w:val="00255885"/>
    <w:rsid w:val="00255957"/>
    <w:rsid w:val="00255B0C"/>
    <w:rsid w:val="00255E42"/>
    <w:rsid w:val="00255E89"/>
    <w:rsid w:val="002562E6"/>
    <w:rsid w:val="00256690"/>
    <w:rsid w:val="00257284"/>
    <w:rsid w:val="00257A08"/>
    <w:rsid w:val="00257B16"/>
    <w:rsid w:val="00257E12"/>
    <w:rsid w:val="0026015D"/>
    <w:rsid w:val="00260354"/>
    <w:rsid w:val="0026077F"/>
    <w:rsid w:val="002608C5"/>
    <w:rsid w:val="00260A1F"/>
    <w:rsid w:val="00261455"/>
    <w:rsid w:val="00261649"/>
    <w:rsid w:val="00261A57"/>
    <w:rsid w:val="0026263F"/>
    <w:rsid w:val="002626DF"/>
    <w:rsid w:val="00262792"/>
    <w:rsid w:val="00262A70"/>
    <w:rsid w:val="00263345"/>
    <w:rsid w:val="00263443"/>
    <w:rsid w:val="00263B10"/>
    <w:rsid w:val="00264264"/>
    <w:rsid w:val="002653D6"/>
    <w:rsid w:val="002655FD"/>
    <w:rsid w:val="00265711"/>
    <w:rsid w:val="00266130"/>
    <w:rsid w:val="00266881"/>
    <w:rsid w:val="00266C69"/>
    <w:rsid w:val="00266FEA"/>
    <w:rsid w:val="00267214"/>
    <w:rsid w:val="0026790B"/>
    <w:rsid w:val="0026799E"/>
    <w:rsid w:val="00267AE9"/>
    <w:rsid w:val="00267BDA"/>
    <w:rsid w:val="00267E55"/>
    <w:rsid w:val="00270079"/>
    <w:rsid w:val="002700A9"/>
    <w:rsid w:val="00270537"/>
    <w:rsid w:val="00270A1B"/>
    <w:rsid w:val="00270F82"/>
    <w:rsid w:val="0027125A"/>
    <w:rsid w:val="002714E2"/>
    <w:rsid w:val="00271EE7"/>
    <w:rsid w:val="00272092"/>
    <w:rsid w:val="00272202"/>
    <w:rsid w:val="002729CE"/>
    <w:rsid w:val="00272AC8"/>
    <w:rsid w:val="00272BC2"/>
    <w:rsid w:val="00272CF5"/>
    <w:rsid w:val="00272F7F"/>
    <w:rsid w:val="0027380B"/>
    <w:rsid w:val="002738CC"/>
    <w:rsid w:val="00273938"/>
    <w:rsid w:val="002743DA"/>
    <w:rsid w:val="00274921"/>
    <w:rsid w:val="00274A89"/>
    <w:rsid w:val="00274B05"/>
    <w:rsid w:val="0027564B"/>
    <w:rsid w:val="002757B5"/>
    <w:rsid w:val="00275B6F"/>
    <w:rsid w:val="0027626D"/>
    <w:rsid w:val="00276CE4"/>
    <w:rsid w:val="00276FF0"/>
    <w:rsid w:val="00277096"/>
    <w:rsid w:val="002779D4"/>
    <w:rsid w:val="00277B48"/>
    <w:rsid w:val="00277D78"/>
    <w:rsid w:val="00277ECC"/>
    <w:rsid w:val="00280195"/>
    <w:rsid w:val="00280442"/>
    <w:rsid w:val="002807B3"/>
    <w:rsid w:val="00281247"/>
    <w:rsid w:val="00281753"/>
    <w:rsid w:val="002818FD"/>
    <w:rsid w:val="00281A21"/>
    <w:rsid w:val="00281BAE"/>
    <w:rsid w:val="00281BFF"/>
    <w:rsid w:val="00281C40"/>
    <w:rsid w:val="00281CB6"/>
    <w:rsid w:val="00281CF2"/>
    <w:rsid w:val="00281DCD"/>
    <w:rsid w:val="0028215D"/>
    <w:rsid w:val="00282516"/>
    <w:rsid w:val="002825B6"/>
    <w:rsid w:val="0028277E"/>
    <w:rsid w:val="002829FF"/>
    <w:rsid w:val="00282D50"/>
    <w:rsid w:val="002838B9"/>
    <w:rsid w:val="002838F9"/>
    <w:rsid w:val="00283B33"/>
    <w:rsid w:val="00283BA3"/>
    <w:rsid w:val="002840B6"/>
    <w:rsid w:val="0028450B"/>
    <w:rsid w:val="00284893"/>
    <w:rsid w:val="00284BC0"/>
    <w:rsid w:val="00284BF9"/>
    <w:rsid w:val="00285198"/>
    <w:rsid w:val="002852D6"/>
    <w:rsid w:val="0028545B"/>
    <w:rsid w:val="00285710"/>
    <w:rsid w:val="00285AB7"/>
    <w:rsid w:val="002863E9"/>
    <w:rsid w:val="00286454"/>
    <w:rsid w:val="002864DC"/>
    <w:rsid w:val="002867AE"/>
    <w:rsid w:val="00286F49"/>
    <w:rsid w:val="00286FC8"/>
    <w:rsid w:val="0028781D"/>
    <w:rsid w:val="00287A53"/>
    <w:rsid w:val="00287C3F"/>
    <w:rsid w:val="00290F9F"/>
    <w:rsid w:val="002911B1"/>
    <w:rsid w:val="0029179B"/>
    <w:rsid w:val="00291BAD"/>
    <w:rsid w:val="00291CD5"/>
    <w:rsid w:val="00291E21"/>
    <w:rsid w:val="00291F03"/>
    <w:rsid w:val="0029275C"/>
    <w:rsid w:val="002927A9"/>
    <w:rsid w:val="00292D94"/>
    <w:rsid w:val="00292EFC"/>
    <w:rsid w:val="002930C7"/>
    <w:rsid w:val="00293463"/>
    <w:rsid w:val="002934E7"/>
    <w:rsid w:val="002938F4"/>
    <w:rsid w:val="002939B8"/>
    <w:rsid w:val="002940C7"/>
    <w:rsid w:val="00294308"/>
    <w:rsid w:val="0029441A"/>
    <w:rsid w:val="002944E2"/>
    <w:rsid w:val="00294611"/>
    <w:rsid w:val="00295901"/>
    <w:rsid w:val="00295A9D"/>
    <w:rsid w:val="00295B55"/>
    <w:rsid w:val="00296599"/>
    <w:rsid w:val="00296932"/>
    <w:rsid w:val="00296A8A"/>
    <w:rsid w:val="00296F03"/>
    <w:rsid w:val="00297219"/>
    <w:rsid w:val="00297407"/>
    <w:rsid w:val="00297591"/>
    <w:rsid w:val="00297620"/>
    <w:rsid w:val="00297A6A"/>
    <w:rsid w:val="00297C7F"/>
    <w:rsid w:val="00297C95"/>
    <w:rsid w:val="002A0119"/>
    <w:rsid w:val="002A041C"/>
    <w:rsid w:val="002A06F8"/>
    <w:rsid w:val="002A0AAF"/>
    <w:rsid w:val="002A0AF5"/>
    <w:rsid w:val="002A0D01"/>
    <w:rsid w:val="002A104C"/>
    <w:rsid w:val="002A12A2"/>
    <w:rsid w:val="002A1A94"/>
    <w:rsid w:val="002A1C09"/>
    <w:rsid w:val="002A1E4A"/>
    <w:rsid w:val="002A2008"/>
    <w:rsid w:val="002A2053"/>
    <w:rsid w:val="002A29B3"/>
    <w:rsid w:val="002A2AF1"/>
    <w:rsid w:val="002A2C29"/>
    <w:rsid w:val="002A2E15"/>
    <w:rsid w:val="002A2E5B"/>
    <w:rsid w:val="002A2FDF"/>
    <w:rsid w:val="002A3054"/>
    <w:rsid w:val="002A36B7"/>
    <w:rsid w:val="002A40C9"/>
    <w:rsid w:val="002A4426"/>
    <w:rsid w:val="002A45AF"/>
    <w:rsid w:val="002A46B2"/>
    <w:rsid w:val="002A49D2"/>
    <w:rsid w:val="002A4D31"/>
    <w:rsid w:val="002A4D43"/>
    <w:rsid w:val="002A4ED4"/>
    <w:rsid w:val="002A517E"/>
    <w:rsid w:val="002A51C7"/>
    <w:rsid w:val="002A5933"/>
    <w:rsid w:val="002A5A1B"/>
    <w:rsid w:val="002A5A84"/>
    <w:rsid w:val="002A5C6A"/>
    <w:rsid w:val="002A5CB4"/>
    <w:rsid w:val="002A5ED2"/>
    <w:rsid w:val="002A6152"/>
    <w:rsid w:val="002A629C"/>
    <w:rsid w:val="002A6332"/>
    <w:rsid w:val="002A6420"/>
    <w:rsid w:val="002A66C3"/>
    <w:rsid w:val="002A67F9"/>
    <w:rsid w:val="002A6B98"/>
    <w:rsid w:val="002A6D23"/>
    <w:rsid w:val="002A7231"/>
    <w:rsid w:val="002A7915"/>
    <w:rsid w:val="002A7BEA"/>
    <w:rsid w:val="002A7E10"/>
    <w:rsid w:val="002A7E22"/>
    <w:rsid w:val="002B00C3"/>
    <w:rsid w:val="002B0218"/>
    <w:rsid w:val="002B0251"/>
    <w:rsid w:val="002B049F"/>
    <w:rsid w:val="002B0550"/>
    <w:rsid w:val="002B0605"/>
    <w:rsid w:val="002B12AA"/>
    <w:rsid w:val="002B1397"/>
    <w:rsid w:val="002B1643"/>
    <w:rsid w:val="002B20B9"/>
    <w:rsid w:val="002B222E"/>
    <w:rsid w:val="002B2354"/>
    <w:rsid w:val="002B2417"/>
    <w:rsid w:val="002B290A"/>
    <w:rsid w:val="002B2B6B"/>
    <w:rsid w:val="002B2E08"/>
    <w:rsid w:val="002B2F54"/>
    <w:rsid w:val="002B3928"/>
    <w:rsid w:val="002B3A57"/>
    <w:rsid w:val="002B4342"/>
    <w:rsid w:val="002B48D1"/>
    <w:rsid w:val="002B4C59"/>
    <w:rsid w:val="002B4C84"/>
    <w:rsid w:val="002B4D2C"/>
    <w:rsid w:val="002B5416"/>
    <w:rsid w:val="002B5796"/>
    <w:rsid w:val="002B5918"/>
    <w:rsid w:val="002B5941"/>
    <w:rsid w:val="002B5A95"/>
    <w:rsid w:val="002B5E4E"/>
    <w:rsid w:val="002B608D"/>
    <w:rsid w:val="002B60C0"/>
    <w:rsid w:val="002B620C"/>
    <w:rsid w:val="002B622C"/>
    <w:rsid w:val="002B62E3"/>
    <w:rsid w:val="002B63DA"/>
    <w:rsid w:val="002B6BF6"/>
    <w:rsid w:val="002B6DF5"/>
    <w:rsid w:val="002B70FE"/>
    <w:rsid w:val="002B71CF"/>
    <w:rsid w:val="002B735A"/>
    <w:rsid w:val="002B741B"/>
    <w:rsid w:val="002B7838"/>
    <w:rsid w:val="002B7B02"/>
    <w:rsid w:val="002B7DD3"/>
    <w:rsid w:val="002C0251"/>
    <w:rsid w:val="002C0256"/>
    <w:rsid w:val="002C08FC"/>
    <w:rsid w:val="002C0DFD"/>
    <w:rsid w:val="002C1223"/>
    <w:rsid w:val="002C1447"/>
    <w:rsid w:val="002C1672"/>
    <w:rsid w:val="002C1902"/>
    <w:rsid w:val="002C197F"/>
    <w:rsid w:val="002C1DC8"/>
    <w:rsid w:val="002C1EB9"/>
    <w:rsid w:val="002C2065"/>
    <w:rsid w:val="002C22B0"/>
    <w:rsid w:val="002C233D"/>
    <w:rsid w:val="002C23F5"/>
    <w:rsid w:val="002C27F1"/>
    <w:rsid w:val="002C3596"/>
    <w:rsid w:val="002C37B5"/>
    <w:rsid w:val="002C3E23"/>
    <w:rsid w:val="002C3EA6"/>
    <w:rsid w:val="002C4296"/>
    <w:rsid w:val="002C4EF7"/>
    <w:rsid w:val="002C50E2"/>
    <w:rsid w:val="002C582F"/>
    <w:rsid w:val="002C585D"/>
    <w:rsid w:val="002C595F"/>
    <w:rsid w:val="002C5A0C"/>
    <w:rsid w:val="002C5BA3"/>
    <w:rsid w:val="002C5BE9"/>
    <w:rsid w:val="002C600A"/>
    <w:rsid w:val="002C66D7"/>
    <w:rsid w:val="002C6733"/>
    <w:rsid w:val="002C6790"/>
    <w:rsid w:val="002C6939"/>
    <w:rsid w:val="002C6A04"/>
    <w:rsid w:val="002C6BCE"/>
    <w:rsid w:val="002C6C78"/>
    <w:rsid w:val="002C7614"/>
    <w:rsid w:val="002C77AC"/>
    <w:rsid w:val="002C78E5"/>
    <w:rsid w:val="002C7F4A"/>
    <w:rsid w:val="002C7FF4"/>
    <w:rsid w:val="002D0250"/>
    <w:rsid w:val="002D0991"/>
    <w:rsid w:val="002D0EC8"/>
    <w:rsid w:val="002D1CFE"/>
    <w:rsid w:val="002D1D72"/>
    <w:rsid w:val="002D1EB8"/>
    <w:rsid w:val="002D20AC"/>
    <w:rsid w:val="002D22DD"/>
    <w:rsid w:val="002D2408"/>
    <w:rsid w:val="002D2748"/>
    <w:rsid w:val="002D28B7"/>
    <w:rsid w:val="002D2B4E"/>
    <w:rsid w:val="002D2E4C"/>
    <w:rsid w:val="002D2EFC"/>
    <w:rsid w:val="002D311D"/>
    <w:rsid w:val="002D34E7"/>
    <w:rsid w:val="002D3761"/>
    <w:rsid w:val="002D4043"/>
    <w:rsid w:val="002D40D5"/>
    <w:rsid w:val="002D4126"/>
    <w:rsid w:val="002D4332"/>
    <w:rsid w:val="002D47F6"/>
    <w:rsid w:val="002D4CAE"/>
    <w:rsid w:val="002D4D96"/>
    <w:rsid w:val="002D4DF1"/>
    <w:rsid w:val="002D534A"/>
    <w:rsid w:val="002D54C4"/>
    <w:rsid w:val="002D5617"/>
    <w:rsid w:val="002D5735"/>
    <w:rsid w:val="002D5C8B"/>
    <w:rsid w:val="002D5D10"/>
    <w:rsid w:val="002D6341"/>
    <w:rsid w:val="002D65A8"/>
    <w:rsid w:val="002D65BE"/>
    <w:rsid w:val="002D66F7"/>
    <w:rsid w:val="002D6C89"/>
    <w:rsid w:val="002D6D08"/>
    <w:rsid w:val="002D6D5F"/>
    <w:rsid w:val="002D6E02"/>
    <w:rsid w:val="002D6F06"/>
    <w:rsid w:val="002D6F8B"/>
    <w:rsid w:val="002D72DA"/>
    <w:rsid w:val="002D7714"/>
    <w:rsid w:val="002D7E40"/>
    <w:rsid w:val="002D7FAC"/>
    <w:rsid w:val="002E0136"/>
    <w:rsid w:val="002E0177"/>
    <w:rsid w:val="002E01BD"/>
    <w:rsid w:val="002E0573"/>
    <w:rsid w:val="002E07C8"/>
    <w:rsid w:val="002E0E1E"/>
    <w:rsid w:val="002E0F8A"/>
    <w:rsid w:val="002E1050"/>
    <w:rsid w:val="002E13BE"/>
    <w:rsid w:val="002E157F"/>
    <w:rsid w:val="002E18AF"/>
    <w:rsid w:val="002E1B5F"/>
    <w:rsid w:val="002E1E11"/>
    <w:rsid w:val="002E1E7E"/>
    <w:rsid w:val="002E1F17"/>
    <w:rsid w:val="002E2201"/>
    <w:rsid w:val="002E2785"/>
    <w:rsid w:val="002E2861"/>
    <w:rsid w:val="002E28AD"/>
    <w:rsid w:val="002E2E47"/>
    <w:rsid w:val="002E309A"/>
    <w:rsid w:val="002E3280"/>
    <w:rsid w:val="002E3716"/>
    <w:rsid w:val="002E3731"/>
    <w:rsid w:val="002E3C61"/>
    <w:rsid w:val="002E3E20"/>
    <w:rsid w:val="002E3F09"/>
    <w:rsid w:val="002E4080"/>
    <w:rsid w:val="002E4410"/>
    <w:rsid w:val="002E52B4"/>
    <w:rsid w:val="002E5649"/>
    <w:rsid w:val="002E56EF"/>
    <w:rsid w:val="002E574B"/>
    <w:rsid w:val="002E57D9"/>
    <w:rsid w:val="002E59FC"/>
    <w:rsid w:val="002E5D52"/>
    <w:rsid w:val="002E6283"/>
    <w:rsid w:val="002E636C"/>
    <w:rsid w:val="002E69B5"/>
    <w:rsid w:val="002E7D1C"/>
    <w:rsid w:val="002E7E3E"/>
    <w:rsid w:val="002E7FD9"/>
    <w:rsid w:val="002F012E"/>
    <w:rsid w:val="002F03D1"/>
    <w:rsid w:val="002F04A7"/>
    <w:rsid w:val="002F0723"/>
    <w:rsid w:val="002F07B8"/>
    <w:rsid w:val="002F07BC"/>
    <w:rsid w:val="002F11E5"/>
    <w:rsid w:val="002F163E"/>
    <w:rsid w:val="002F17DC"/>
    <w:rsid w:val="002F1D8F"/>
    <w:rsid w:val="002F2358"/>
    <w:rsid w:val="002F25A3"/>
    <w:rsid w:val="002F2812"/>
    <w:rsid w:val="002F29D3"/>
    <w:rsid w:val="002F2A36"/>
    <w:rsid w:val="002F30A6"/>
    <w:rsid w:val="002F34DD"/>
    <w:rsid w:val="002F3538"/>
    <w:rsid w:val="002F3F1D"/>
    <w:rsid w:val="002F3F36"/>
    <w:rsid w:val="002F470E"/>
    <w:rsid w:val="002F478F"/>
    <w:rsid w:val="002F4C97"/>
    <w:rsid w:val="002F5105"/>
    <w:rsid w:val="002F5294"/>
    <w:rsid w:val="002F5324"/>
    <w:rsid w:val="002F544A"/>
    <w:rsid w:val="002F5685"/>
    <w:rsid w:val="002F5C1D"/>
    <w:rsid w:val="002F5D97"/>
    <w:rsid w:val="002F62FC"/>
    <w:rsid w:val="002F64C2"/>
    <w:rsid w:val="002F66B5"/>
    <w:rsid w:val="002F686C"/>
    <w:rsid w:val="002F68B8"/>
    <w:rsid w:val="002F69D2"/>
    <w:rsid w:val="002F6FEB"/>
    <w:rsid w:val="002F71E7"/>
    <w:rsid w:val="002F765E"/>
    <w:rsid w:val="002F7853"/>
    <w:rsid w:val="002F7931"/>
    <w:rsid w:val="002F7940"/>
    <w:rsid w:val="002F7A24"/>
    <w:rsid w:val="002F7E56"/>
    <w:rsid w:val="003003B4"/>
    <w:rsid w:val="003007D1"/>
    <w:rsid w:val="0030088B"/>
    <w:rsid w:val="00300B91"/>
    <w:rsid w:val="00300BBF"/>
    <w:rsid w:val="0030106F"/>
    <w:rsid w:val="0030141D"/>
    <w:rsid w:val="00301C1E"/>
    <w:rsid w:val="0030202C"/>
    <w:rsid w:val="00302260"/>
    <w:rsid w:val="00302341"/>
    <w:rsid w:val="003029A0"/>
    <w:rsid w:val="003029D7"/>
    <w:rsid w:val="00302B88"/>
    <w:rsid w:val="00302E72"/>
    <w:rsid w:val="00302E9A"/>
    <w:rsid w:val="00302F9D"/>
    <w:rsid w:val="00303507"/>
    <w:rsid w:val="003037A5"/>
    <w:rsid w:val="00303BC9"/>
    <w:rsid w:val="00303D0D"/>
    <w:rsid w:val="00303EFC"/>
    <w:rsid w:val="00303F3B"/>
    <w:rsid w:val="00304167"/>
    <w:rsid w:val="00304514"/>
    <w:rsid w:val="00304CA0"/>
    <w:rsid w:val="00304F45"/>
    <w:rsid w:val="00305607"/>
    <w:rsid w:val="00305637"/>
    <w:rsid w:val="00305724"/>
    <w:rsid w:val="003057FD"/>
    <w:rsid w:val="00305D07"/>
    <w:rsid w:val="00305D0A"/>
    <w:rsid w:val="00305D5E"/>
    <w:rsid w:val="00305DFE"/>
    <w:rsid w:val="003061DF"/>
    <w:rsid w:val="00306473"/>
    <w:rsid w:val="00306882"/>
    <w:rsid w:val="00306B1A"/>
    <w:rsid w:val="00306C88"/>
    <w:rsid w:val="00307451"/>
    <w:rsid w:val="003074FB"/>
    <w:rsid w:val="0030767A"/>
    <w:rsid w:val="00307D8A"/>
    <w:rsid w:val="00307F18"/>
    <w:rsid w:val="003101BA"/>
    <w:rsid w:val="0031025C"/>
    <w:rsid w:val="00310328"/>
    <w:rsid w:val="003103D1"/>
    <w:rsid w:val="00310505"/>
    <w:rsid w:val="00311150"/>
    <w:rsid w:val="00311BBD"/>
    <w:rsid w:val="00311D60"/>
    <w:rsid w:val="003120CD"/>
    <w:rsid w:val="0031297C"/>
    <w:rsid w:val="00312C14"/>
    <w:rsid w:val="00313366"/>
    <w:rsid w:val="003133D4"/>
    <w:rsid w:val="00313517"/>
    <w:rsid w:val="00313576"/>
    <w:rsid w:val="0031366A"/>
    <w:rsid w:val="00313B5E"/>
    <w:rsid w:val="00313E85"/>
    <w:rsid w:val="00314317"/>
    <w:rsid w:val="003144AF"/>
    <w:rsid w:val="003147DC"/>
    <w:rsid w:val="003158AB"/>
    <w:rsid w:val="003158DD"/>
    <w:rsid w:val="00315A4D"/>
    <w:rsid w:val="00315BC1"/>
    <w:rsid w:val="00315D71"/>
    <w:rsid w:val="00315E9E"/>
    <w:rsid w:val="00315EBF"/>
    <w:rsid w:val="00315F39"/>
    <w:rsid w:val="0031631C"/>
    <w:rsid w:val="0031653A"/>
    <w:rsid w:val="0031676C"/>
    <w:rsid w:val="00316972"/>
    <w:rsid w:val="00316B8C"/>
    <w:rsid w:val="00316BA0"/>
    <w:rsid w:val="00316D14"/>
    <w:rsid w:val="003170D7"/>
    <w:rsid w:val="003172A6"/>
    <w:rsid w:val="00317808"/>
    <w:rsid w:val="00317D6E"/>
    <w:rsid w:val="00320171"/>
    <w:rsid w:val="0032102A"/>
    <w:rsid w:val="003210D8"/>
    <w:rsid w:val="00321237"/>
    <w:rsid w:val="00321551"/>
    <w:rsid w:val="00321881"/>
    <w:rsid w:val="00321994"/>
    <w:rsid w:val="00321B16"/>
    <w:rsid w:val="00321B18"/>
    <w:rsid w:val="00321BF0"/>
    <w:rsid w:val="00321D68"/>
    <w:rsid w:val="00321F0C"/>
    <w:rsid w:val="00322079"/>
    <w:rsid w:val="00322C9E"/>
    <w:rsid w:val="0032327B"/>
    <w:rsid w:val="003234B7"/>
    <w:rsid w:val="00323546"/>
    <w:rsid w:val="003236A8"/>
    <w:rsid w:val="003236F2"/>
    <w:rsid w:val="00323979"/>
    <w:rsid w:val="00323AC2"/>
    <w:rsid w:val="0032410B"/>
    <w:rsid w:val="0032436F"/>
    <w:rsid w:val="00324590"/>
    <w:rsid w:val="003245B6"/>
    <w:rsid w:val="00324869"/>
    <w:rsid w:val="0032487B"/>
    <w:rsid w:val="003249C6"/>
    <w:rsid w:val="00324D63"/>
    <w:rsid w:val="00324D67"/>
    <w:rsid w:val="00324E33"/>
    <w:rsid w:val="0032525B"/>
    <w:rsid w:val="00325327"/>
    <w:rsid w:val="00325589"/>
    <w:rsid w:val="00325BFC"/>
    <w:rsid w:val="00325C3F"/>
    <w:rsid w:val="00325CAD"/>
    <w:rsid w:val="00326023"/>
    <w:rsid w:val="00326318"/>
    <w:rsid w:val="00326322"/>
    <w:rsid w:val="00326A17"/>
    <w:rsid w:val="003276EC"/>
    <w:rsid w:val="0033021C"/>
    <w:rsid w:val="00330388"/>
    <w:rsid w:val="00330449"/>
    <w:rsid w:val="00330679"/>
    <w:rsid w:val="00330B34"/>
    <w:rsid w:val="00331269"/>
    <w:rsid w:val="003315E5"/>
    <w:rsid w:val="00332105"/>
    <w:rsid w:val="00332141"/>
    <w:rsid w:val="00332AC8"/>
    <w:rsid w:val="00332D48"/>
    <w:rsid w:val="0033337B"/>
    <w:rsid w:val="00333AC3"/>
    <w:rsid w:val="00333AF4"/>
    <w:rsid w:val="00333C8A"/>
    <w:rsid w:val="00333D09"/>
    <w:rsid w:val="00333F18"/>
    <w:rsid w:val="0033469E"/>
    <w:rsid w:val="00334765"/>
    <w:rsid w:val="003349B7"/>
    <w:rsid w:val="00334BCA"/>
    <w:rsid w:val="00334BE3"/>
    <w:rsid w:val="00334FE6"/>
    <w:rsid w:val="003353AD"/>
    <w:rsid w:val="003355B3"/>
    <w:rsid w:val="00335B9D"/>
    <w:rsid w:val="00335D7D"/>
    <w:rsid w:val="003360D5"/>
    <w:rsid w:val="0033646E"/>
    <w:rsid w:val="003366D1"/>
    <w:rsid w:val="00336756"/>
    <w:rsid w:val="003368EA"/>
    <w:rsid w:val="00336B30"/>
    <w:rsid w:val="00336C7E"/>
    <w:rsid w:val="00336CC1"/>
    <w:rsid w:val="00336CD9"/>
    <w:rsid w:val="00336EC4"/>
    <w:rsid w:val="003370F5"/>
    <w:rsid w:val="00337227"/>
    <w:rsid w:val="00337617"/>
    <w:rsid w:val="00337A02"/>
    <w:rsid w:val="00340310"/>
    <w:rsid w:val="00340456"/>
    <w:rsid w:val="00340495"/>
    <w:rsid w:val="00340700"/>
    <w:rsid w:val="00340B36"/>
    <w:rsid w:val="00340BDB"/>
    <w:rsid w:val="003410E9"/>
    <w:rsid w:val="003413FC"/>
    <w:rsid w:val="003416A2"/>
    <w:rsid w:val="00341D4E"/>
    <w:rsid w:val="00342276"/>
    <w:rsid w:val="00342331"/>
    <w:rsid w:val="0034260B"/>
    <w:rsid w:val="00342889"/>
    <w:rsid w:val="00342947"/>
    <w:rsid w:val="00342975"/>
    <w:rsid w:val="00342B39"/>
    <w:rsid w:val="00342CF0"/>
    <w:rsid w:val="00342F54"/>
    <w:rsid w:val="00342FC9"/>
    <w:rsid w:val="00343213"/>
    <w:rsid w:val="003433D9"/>
    <w:rsid w:val="00343608"/>
    <w:rsid w:val="00343A0F"/>
    <w:rsid w:val="00343C0C"/>
    <w:rsid w:val="00343CBD"/>
    <w:rsid w:val="00343CD8"/>
    <w:rsid w:val="00343EA1"/>
    <w:rsid w:val="00343FF3"/>
    <w:rsid w:val="0034434B"/>
    <w:rsid w:val="0034460F"/>
    <w:rsid w:val="0034475B"/>
    <w:rsid w:val="0034485D"/>
    <w:rsid w:val="00344C5F"/>
    <w:rsid w:val="00344CFD"/>
    <w:rsid w:val="00344FED"/>
    <w:rsid w:val="0034558F"/>
    <w:rsid w:val="00345710"/>
    <w:rsid w:val="00345959"/>
    <w:rsid w:val="00345AA4"/>
    <w:rsid w:val="003462F5"/>
    <w:rsid w:val="003465FD"/>
    <w:rsid w:val="00346733"/>
    <w:rsid w:val="00346A6F"/>
    <w:rsid w:val="00346B34"/>
    <w:rsid w:val="00346B4C"/>
    <w:rsid w:val="00346BFD"/>
    <w:rsid w:val="003474D5"/>
    <w:rsid w:val="003475DC"/>
    <w:rsid w:val="00347685"/>
    <w:rsid w:val="003477CA"/>
    <w:rsid w:val="003479BE"/>
    <w:rsid w:val="003479FE"/>
    <w:rsid w:val="00347EF0"/>
    <w:rsid w:val="003503C5"/>
    <w:rsid w:val="00350A3B"/>
    <w:rsid w:val="00350AC3"/>
    <w:rsid w:val="00350D94"/>
    <w:rsid w:val="00351520"/>
    <w:rsid w:val="00351598"/>
    <w:rsid w:val="00351744"/>
    <w:rsid w:val="00351925"/>
    <w:rsid w:val="00351D78"/>
    <w:rsid w:val="00352142"/>
    <w:rsid w:val="00352209"/>
    <w:rsid w:val="00352562"/>
    <w:rsid w:val="0035290F"/>
    <w:rsid w:val="00352D0B"/>
    <w:rsid w:val="00352E35"/>
    <w:rsid w:val="00352FD1"/>
    <w:rsid w:val="00352FE3"/>
    <w:rsid w:val="003531F3"/>
    <w:rsid w:val="0035350B"/>
    <w:rsid w:val="00353FFA"/>
    <w:rsid w:val="00355651"/>
    <w:rsid w:val="00355A44"/>
    <w:rsid w:val="00355B5C"/>
    <w:rsid w:val="00355D73"/>
    <w:rsid w:val="00355F69"/>
    <w:rsid w:val="003560A4"/>
    <w:rsid w:val="0035625B"/>
    <w:rsid w:val="00356D57"/>
    <w:rsid w:val="00356D6B"/>
    <w:rsid w:val="003576A9"/>
    <w:rsid w:val="00357861"/>
    <w:rsid w:val="00357869"/>
    <w:rsid w:val="003578C6"/>
    <w:rsid w:val="00357D5A"/>
    <w:rsid w:val="003603BD"/>
    <w:rsid w:val="003605C4"/>
    <w:rsid w:val="00360693"/>
    <w:rsid w:val="003606A2"/>
    <w:rsid w:val="003606E9"/>
    <w:rsid w:val="00360786"/>
    <w:rsid w:val="003611BB"/>
    <w:rsid w:val="00361A81"/>
    <w:rsid w:val="00361B27"/>
    <w:rsid w:val="00361B34"/>
    <w:rsid w:val="00361C1B"/>
    <w:rsid w:val="00362143"/>
    <w:rsid w:val="00362369"/>
    <w:rsid w:val="003629D0"/>
    <w:rsid w:val="003631EA"/>
    <w:rsid w:val="00363202"/>
    <w:rsid w:val="0036391B"/>
    <w:rsid w:val="00363947"/>
    <w:rsid w:val="00363CEF"/>
    <w:rsid w:val="00364068"/>
    <w:rsid w:val="0036437A"/>
    <w:rsid w:val="0036446A"/>
    <w:rsid w:val="00364560"/>
    <w:rsid w:val="00364E53"/>
    <w:rsid w:val="00364F06"/>
    <w:rsid w:val="0036512F"/>
    <w:rsid w:val="0036525D"/>
    <w:rsid w:val="00365823"/>
    <w:rsid w:val="0036582F"/>
    <w:rsid w:val="00366238"/>
    <w:rsid w:val="0036647A"/>
    <w:rsid w:val="003665BA"/>
    <w:rsid w:val="0036671A"/>
    <w:rsid w:val="00367193"/>
    <w:rsid w:val="003672DD"/>
    <w:rsid w:val="00367821"/>
    <w:rsid w:val="00367ADA"/>
    <w:rsid w:val="00370352"/>
    <w:rsid w:val="0037043C"/>
    <w:rsid w:val="00370556"/>
    <w:rsid w:val="003705DA"/>
    <w:rsid w:val="003709F3"/>
    <w:rsid w:val="00370A8E"/>
    <w:rsid w:val="00370D41"/>
    <w:rsid w:val="00370DD3"/>
    <w:rsid w:val="00370FF7"/>
    <w:rsid w:val="00371613"/>
    <w:rsid w:val="003717ED"/>
    <w:rsid w:val="0037193F"/>
    <w:rsid w:val="00371CC5"/>
    <w:rsid w:val="00371ED4"/>
    <w:rsid w:val="003726B6"/>
    <w:rsid w:val="003728F4"/>
    <w:rsid w:val="00372998"/>
    <w:rsid w:val="003730D6"/>
    <w:rsid w:val="00374743"/>
    <w:rsid w:val="00374AC4"/>
    <w:rsid w:val="00374C6E"/>
    <w:rsid w:val="003755C5"/>
    <w:rsid w:val="00375928"/>
    <w:rsid w:val="00375A74"/>
    <w:rsid w:val="00375B3F"/>
    <w:rsid w:val="00375DAE"/>
    <w:rsid w:val="00375E6E"/>
    <w:rsid w:val="003761F4"/>
    <w:rsid w:val="0037627F"/>
    <w:rsid w:val="003762B1"/>
    <w:rsid w:val="0037633F"/>
    <w:rsid w:val="0037686A"/>
    <w:rsid w:val="00376CE6"/>
    <w:rsid w:val="00376D0C"/>
    <w:rsid w:val="00377056"/>
    <w:rsid w:val="0037710E"/>
    <w:rsid w:val="0037719B"/>
    <w:rsid w:val="0037729A"/>
    <w:rsid w:val="003773CC"/>
    <w:rsid w:val="003775DA"/>
    <w:rsid w:val="00377A64"/>
    <w:rsid w:val="00377AF5"/>
    <w:rsid w:val="00377E61"/>
    <w:rsid w:val="003800BD"/>
    <w:rsid w:val="0038033C"/>
    <w:rsid w:val="003805E5"/>
    <w:rsid w:val="003807A4"/>
    <w:rsid w:val="00380A92"/>
    <w:rsid w:val="00381443"/>
    <w:rsid w:val="00381462"/>
    <w:rsid w:val="003814D4"/>
    <w:rsid w:val="00381540"/>
    <w:rsid w:val="00381867"/>
    <w:rsid w:val="003818FA"/>
    <w:rsid w:val="00381922"/>
    <w:rsid w:val="00381991"/>
    <w:rsid w:val="00381A5A"/>
    <w:rsid w:val="00381BB6"/>
    <w:rsid w:val="00381E52"/>
    <w:rsid w:val="00381EAC"/>
    <w:rsid w:val="003824F1"/>
    <w:rsid w:val="003827C9"/>
    <w:rsid w:val="00382B51"/>
    <w:rsid w:val="00382B9D"/>
    <w:rsid w:val="00382E33"/>
    <w:rsid w:val="003833A9"/>
    <w:rsid w:val="0038359F"/>
    <w:rsid w:val="00383654"/>
    <w:rsid w:val="0038373B"/>
    <w:rsid w:val="0038399F"/>
    <w:rsid w:val="00383B5D"/>
    <w:rsid w:val="0038413C"/>
    <w:rsid w:val="0038420A"/>
    <w:rsid w:val="003848ED"/>
    <w:rsid w:val="003854F2"/>
    <w:rsid w:val="003855B0"/>
    <w:rsid w:val="00385788"/>
    <w:rsid w:val="00385792"/>
    <w:rsid w:val="003857A7"/>
    <w:rsid w:val="00385A4A"/>
    <w:rsid w:val="0038644B"/>
    <w:rsid w:val="0038760C"/>
    <w:rsid w:val="003876F8"/>
    <w:rsid w:val="003877C0"/>
    <w:rsid w:val="003879BA"/>
    <w:rsid w:val="00387E61"/>
    <w:rsid w:val="00387E69"/>
    <w:rsid w:val="00387E6E"/>
    <w:rsid w:val="00387E77"/>
    <w:rsid w:val="0039012B"/>
    <w:rsid w:val="0039086D"/>
    <w:rsid w:val="00390B4D"/>
    <w:rsid w:val="00390BCA"/>
    <w:rsid w:val="00391599"/>
    <w:rsid w:val="0039164F"/>
    <w:rsid w:val="00391865"/>
    <w:rsid w:val="00391A64"/>
    <w:rsid w:val="00391A85"/>
    <w:rsid w:val="00391A93"/>
    <w:rsid w:val="00391CA9"/>
    <w:rsid w:val="00391CBB"/>
    <w:rsid w:val="00391DB8"/>
    <w:rsid w:val="00391F48"/>
    <w:rsid w:val="003921CF"/>
    <w:rsid w:val="003926B8"/>
    <w:rsid w:val="003926DF"/>
    <w:rsid w:val="00392AD8"/>
    <w:rsid w:val="00392B54"/>
    <w:rsid w:val="0039321A"/>
    <w:rsid w:val="00393922"/>
    <w:rsid w:val="00393B05"/>
    <w:rsid w:val="00393C40"/>
    <w:rsid w:val="003940EA"/>
    <w:rsid w:val="00394DE5"/>
    <w:rsid w:val="003951F6"/>
    <w:rsid w:val="003954B1"/>
    <w:rsid w:val="00395E71"/>
    <w:rsid w:val="00395F36"/>
    <w:rsid w:val="003962CB"/>
    <w:rsid w:val="003966BC"/>
    <w:rsid w:val="00396754"/>
    <w:rsid w:val="003969F9"/>
    <w:rsid w:val="00396C78"/>
    <w:rsid w:val="00396F69"/>
    <w:rsid w:val="00397056"/>
    <w:rsid w:val="003973DC"/>
    <w:rsid w:val="0039778F"/>
    <w:rsid w:val="00397964"/>
    <w:rsid w:val="00397B6C"/>
    <w:rsid w:val="00397D13"/>
    <w:rsid w:val="003A0039"/>
    <w:rsid w:val="003A034B"/>
    <w:rsid w:val="003A084B"/>
    <w:rsid w:val="003A0924"/>
    <w:rsid w:val="003A0D08"/>
    <w:rsid w:val="003A0DA5"/>
    <w:rsid w:val="003A0F08"/>
    <w:rsid w:val="003A1042"/>
    <w:rsid w:val="003A112B"/>
    <w:rsid w:val="003A1163"/>
    <w:rsid w:val="003A160C"/>
    <w:rsid w:val="003A1E30"/>
    <w:rsid w:val="003A24C5"/>
    <w:rsid w:val="003A25C6"/>
    <w:rsid w:val="003A2BCA"/>
    <w:rsid w:val="003A3145"/>
    <w:rsid w:val="003A345C"/>
    <w:rsid w:val="003A3619"/>
    <w:rsid w:val="003A36C2"/>
    <w:rsid w:val="003A36D3"/>
    <w:rsid w:val="003A4463"/>
    <w:rsid w:val="003A45D9"/>
    <w:rsid w:val="003A4649"/>
    <w:rsid w:val="003A4732"/>
    <w:rsid w:val="003A478E"/>
    <w:rsid w:val="003A4A7A"/>
    <w:rsid w:val="003A4E21"/>
    <w:rsid w:val="003A5020"/>
    <w:rsid w:val="003A53DB"/>
    <w:rsid w:val="003A59BD"/>
    <w:rsid w:val="003A59D4"/>
    <w:rsid w:val="003A5B2B"/>
    <w:rsid w:val="003A5D32"/>
    <w:rsid w:val="003A5E93"/>
    <w:rsid w:val="003A5F3C"/>
    <w:rsid w:val="003A6518"/>
    <w:rsid w:val="003A6B47"/>
    <w:rsid w:val="003A6D10"/>
    <w:rsid w:val="003A6E4F"/>
    <w:rsid w:val="003A720F"/>
    <w:rsid w:val="003A7DEE"/>
    <w:rsid w:val="003A7FE0"/>
    <w:rsid w:val="003A7FF5"/>
    <w:rsid w:val="003B0059"/>
    <w:rsid w:val="003B142B"/>
    <w:rsid w:val="003B144B"/>
    <w:rsid w:val="003B1606"/>
    <w:rsid w:val="003B17D6"/>
    <w:rsid w:val="003B2211"/>
    <w:rsid w:val="003B2CBB"/>
    <w:rsid w:val="003B32BC"/>
    <w:rsid w:val="003B35BC"/>
    <w:rsid w:val="003B3694"/>
    <w:rsid w:val="003B3A14"/>
    <w:rsid w:val="003B3BA1"/>
    <w:rsid w:val="003B3BA4"/>
    <w:rsid w:val="003B3E39"/>
    <w:rsid w:val="003B3E41"/>
    <w:rsid w:val="003B4065"/>
    <w:rsid w:val="003B457D"/>
    <w:rsid w:val="003B475E"/>
    <w:rsid w:val="003B4855"/>
    <w:rsid w:val="003B4E52"/>
    <w:rsid w:val="003B4E5C"/>
    <w:rsid w:val="003B4FDF"/>
    <w:rsid w:val="003B50FA"/>
    <w:rsid w:val="003B532F"/>
    <w:rsid w:val="003B573B"/>
    <w:rsid w:val="003B5888"/>
    <w:rsid w:val="003B6B08"/>
    <w:rsid w:val="003B7297"/>
    <w:rsid w:val="003B73AF"/>
    <w:rsid w:val="003B770A"/>
    <w:rsid w:val="003B7A3E"/>
    <w:rsid w:val="003B7A5A"/>
    <w:rsid w:val="003B7C23"/>
    <w:rsid w:val="003B7D7E"/>
    <w:rsid w:val="003C0100"/>
    <w:rsid w:val="003C084E"/>
    <w:rsid w:val="003C0BD6"/>
    <w:rsid w:val="003C0D5A"/>
    <w:rsid w:val="003C10C9"/>
    <w:rsid w:val="003C178B"/>
    <w:rsid w:val="003C1B16"/>
    <w:rsid w:val="003C2006"/>
    <w:rsid w:val="003C218F"/>
    <w:rsid w:val="003C2605"/>
    <w:rsid w:val="003C2B8B"/>
    <w:rsid w:val="003C2D57"/>
    <w:rsid w:val="003C31DF"/>
    <w:rsid w:val="003C3373"/>
    <w:rsid w:val="003C37B9"/>
    <w:rsid w:val="003C3A49"/>
    <w:rsid w:val="003C3D5E"/>
    <w:rsid w:val="003C43B1"/>
    <w:rsid w:val="003C44F9"/>
    <w:rsid w:val="003C452A"/>
    <w:rsid w:val="003C4EDD"/>
    <w:rsid w:val="003C6179"/>
    <w:rsid w:val="003C61CD"/>
    <w:rsid w:val="003C626A"/>
    <w:rsid w:val="003C668B"/>
    <w:rsid w:val="003C6811"/>
    <w:rsid w:val="003C697C"/>
    <w:rsid w:val="003C6D17"/>
    <w:rsid w:val="003C72EE"/>
    <w:rsid w:val="003C74D7"/>
    <w:rsid w:val="003C774D"/>
    <w:rsid w:val="003C7B6D"/>
    <w:rsid w:val="003D05E0"/>
    <w:rsid w:val="003D0AEC"/>
    <w:rsid w:val="003D0DBF"/>
    <w:rsid w:val="003D0EDF"/>
    <w:rsid w:val="003D117B"/>
    <w:rsid w:val="003D11F4"/>
    <w:rsid w:val="003D1690"/>
    <w:rsid w:val="003D1F4F"/>
    <w:rsid w:val="003D236D"/>
    <w:rsid w:val="003D26CD"/>
    <w:rsid w:val="003D2929"/>
    <w:rsid w:val="003D295A"/>
    <w:rsid w:val="003D2D31"/>
    <w:rsid w:val="003D2FE4"/>
    <w:rsid w:val="003D311E"/>
    <w:rsid w:val="003D3330"/>
    <w:rsid w:val="003D3798"/>
    <w:rsid w:val="003D39FE"/>
    <w:rsid w:val="003D3AB4"/>
    <w:rsid w:val="003D3B79"/>
    <w:rsid w:val="003D3CB1"/>
    <w:rsid w:val="003D3E65"/>
    <w:rsid w:val="003D48C7"/>
    <w:rsid w:val="003D497D"/>
    <w:rsid w:val="003D4BE7"/>
    <w:rsid w:val="003D4C23"/>
    <w:rsid w:val="003D4FE1"/>
    <w:rsid w:val="003D52B5"/>
    <w:rsid w:val="003D544F"/>
    <w:rsid w:val="003D588D"/>
    <w:rsid w:val="003D5C42"/>
    <w:rsid w:val="003D5EB7"/>
    <w:rsid w:val="003D62DF"/>
    <w:rsid w:val="003D63C1"/>
    <w:rsid w:val="003D63CD"/>
    <w:rsid w:val="003D64B0"/>
    <w:rsid w:val="003D664C"/>
    <w:rsid w:val="003D6680"/>
    <w:rsid w:val="003D6A90"/>
    <w:rsid w:val="003D7033"/>
    <w:rsid w:val="003D77DF"/>
    <w:rsid w:val="003D7844"/>
    <w:rsid w:val="003D78C6"/>
    <w:rsid w:val="003E003F"/>
    <w:rsid w:val="003E0088"/>
    <w:rsid w:val="003E0212"/>
    <w:rsid w:val="003E02AC"/>
    <w:rsid w:val="003E02E4"/>
    <w:rsid w:val="003E0C80"/>
    <w:rsid w:val="003E0E64"/>
    <w:rsid w:val="003E155E"/>
    <w:rsid w:val="003E1FE2"/>
    <w:rsid w:val="003E2168"/>
    <w:rsid w:val="003E23A4"/>
    <w:rsid w:val="003E2893"/>
    <w:rsid w:val="003E2938"/>
    <w:rsid w:val="003E2EF0"/>
    <w:rsid w:val="003E304E"/>
    <w:rsid w:val="003E3538"/>
    <w:rsid w:val="003E3568"/>
    <w:rsid w:val="003E3E81"/>
    <w:rsid w:val="003E4394"/>
    <w:rsid w:val="003E4DF9"/>
    <w:rsid w:val="003E5098"/>
    <w:rsid w:val="003E60E0"/>
    <w:rsid w:val="003E66FE"/>
    <w:rsid w:val="003E6940"/>
    <w:rsid w:val="003E69B2"/>
    <w:rsid w:val="003E6D15"/>
    <w:rsid w:val="003E70DF"/>
    <w:rsid w:val="003E7AAB"/>
    <w:rsid w:val="003F017D"/>
    <w:rsid w:val="003F0207"/>
    <w:rsid w:val="003F0DF7"/>
    <w:rsid w:val="003F0E67"/>
    <w:rsid w:val="003F2383"/>
    <w:rsid w:val="003F2617"/>
    <w:rsid w:val="003F2A99"/>
    <w:rsid w:val="003F2AAE"/>
    <w:rsid w:val="003F2CDE"/>
    <w:rsid w:val="003F2D08"/>
    <w:rsid w:val="003F2DAF"/>
    <w:rsid w:val="003F2E39"/>
    <w:rsid w:val="003F35BD"/>
    <w:rsid w:val="003F37D4"/>
    <w:rsid w:val="003F420B"/>
    <w:rsid w:val="003F440A"/>
    <w:rsid w:val="003F4ABB"/>
    <w:rsid w:val="003F4D52"/>
    <w:rsid w:val="003F5320"/>
    <w:rsid w:val="003F5CAF"/>
    <w:rsid w:val="003F5DAC"/>
    <w:rsid w:val="003F6405"/>
    <w:rsid w:val="003F750F"/>
    <w:rsid w:val="003F7526"/>
    <w:rsid w:val="003F7697"/>
    <w:rsid w:val="003F78D8"/>
    <w:rsid w:val="003F794C"/>
    <w:rsid w:val="003F7AAB"/>
    <w:rsid w:val="003F7CA7"/>
    <w:rsid w:val="00400259"/>
    <w:rsid w:val="004003E8"/>
    <w:rsid w:val="00400801"/>
    <w:rsid w:val="0040080B"/>
    <w:rsid w:val="00400BEB"/>
    <w:rsid w:val="00400CB4"/>
    <w:rsid w:val="004011D2"/>
    <w:rsid w:val="0040187D"/>
    <w:rsid w:val="004019E5"/>
    <w:rsid w:val="00401A2E"/>
    <w:rsid w:val="00401DB6"/>
    <w:rsid w:val="004024A1"/>
    <w:rsid w:val="0040255C"/>
    <w:rsid w:val="00402924"/>
    <w:rsid w:val="00402F5D"/>
    <w:rsid w:val="00403459"/>
    <w:rsid w:val="00403724"/>
    <w:rsid w:val="00403A7F"/>
    <w:rsid w:val="00403C86"/>
    <w:rsid w:val="0040403A"/>
    <w:rsid w:val="004040CD"/>
    <w:rsid w:val="0040436F"/>
    <w:rsid w:val="004048BC"/>
    <w:rsid w:val="00404A5A"/>
    <w:rsid w:val="00404DA3"/>
    <w:rsid w:val="00405098"/>
    <w:rsid w:val="004056FD"/>
    <w:rsid w:val="004057BD"/>
    <w:rsid w:val="00405B08"/>
    <w:rsid w:val="00405B87"/>
    <w:rsid w:val="00405C4D"/>
    <w:rsid w:val="004063CA"/>
    <w:rsid w:val="00406742"/>
    <w:rsid w:val="004068E8"/>
    <w:rsid w:val="00406DC7"/>
    <w:rsid w:val="00406EC6"/>
    <w:rsid w:val="00407035"/>
    <w:rsid w:val="00407408"/>
    <w:rsid w:val="0040740A"/>
    <w:rsid w:val="00407CC3"/>
    <w:rsid w:val="00410940"/>
    <w:rsid w:val="00410AFC"/>
    <w:rsid w:val="0041155D"/>
    <w:rsid w:val="0041157B"/>
    <w:rsid w:val="00411874"/>
    <w:rsid w:val="00411A6A"/>
    <w:rsid w:val="00411BD0"/>
    <w:rsid w:val="00411C25"/>
    <w:rsid w:val="0041206E"/>
    <w:rsid w:val="0041208E"/>
    <w:rsid w:val="004126F8"/>
    <w:rsid w:val="0041287F"/>
    <w:rsid w:val="00412A38"/>
    <w:rsid w:val="00412B09"/>
    <w:rsid w:val="00412C2C"/>
    <w:rsid w:val="00412C7F"/>
    <w:rsid w:val="0041355C"/>
    <w:rsid w:val="004138EC"/>
    <w:rsid w:val="00413D9E"/>
    <w:rsid w:val="0041404E"/>
    <w:rsid w:val="00414386"/>
    <w:rsid w:val="00414897"/>
    <w:rsid w:val="00414A6A"/>
    <w:rsid w:val="00414B5F"/>
    <w:rsid w:val="00414CE2"/>
    <w:rsid w:val="00415128"/>
    <w:rsid w:val="004152EC"/>
    <w:rsid w:val="004157F7"/>
    <w:rsid w:val="00415903"/>
    <w:rsid w:val="00415E24"/>
    <w:rsid w:val="00415E3E"/>
    <w:rsid w:val="00415EDC"/>
    <w:rsid w:val="00416521"/>
    <w:rsid w:val="00416AB4"/>
    <w:rsid w:val="00416B66"/>
    <w:rsid w:val="00417369"/>
    <w:rsid w:val="004174DF"/>
    <w:rsid w:val="00417560"/>
    <w:rsid w:val="004176C6"/>
    <w:rsid w:val="00417765"/>
    <w:rsid w:val="0041780B"/>
    <w:rsid w:val="00417A13"/>
    <w:rsid w:val="00417B20"/>
    <w:rsid w:val="00417C41"/>
    <w:rsid w:val="00417C8E"/>
    <w:rsid w:val="00417D29"/>
    <w:rsid w:val="00417EA2"/>
    <w:rsid w:val="00417EEA"/>
    <w:rsid w:val="004208EE"/>
    <w:rsid w:val="00420A7F"/>
    <w:rsid w:val="00420D8E"/>
    <w:rsid w:val="00421534"/>
    <w:rsid w:val="00422DB2"/>
    <w:rsid w:val="00422EA0"/>
    <w:rsid w:val="00423039"/>
    <w:rsid w:val="00423160"/>
    <w:rsid w:val="00423885"/>
    <w:rsid w:val="004238A2"/>
    <w:rsid w:val="00423B75"/>
    <w:rsid w:val="00423C0A"/>
    <w:rsid w:val="00423C8A"/>
    <w:rsid w:val="00423CCA"/>
    <w:rsid w:val="00423D49"/>
    <w:rsid w:val="00424190"/>
    <w:rsid w:val="0042426A"/>
    <w:rsid w:val="00424830"/>
    <w:rsid w:val="00424D99"/>
    <w:rsid w:val="00425485"/>
    <w:rsid w:val="00425570"/>
    <w:rsid w:val="0042603D"/>
    <w:rsid w:val="0042635D"/>
    <w:rsid w:val="00426393"/>
    <w:rsid w:val="0042669C"/>
    <w:rsid w:val="00426847"/>
    <w:rsid w:val="00427059"/>
    <w:rsid w:val="004275EF"/>
    <w:rsid w:val="004279A0"/>
    <w:rsid w:val="004307AC"/>
    <w:rsid w:val="00430A57"/>
    <w:rsid w:val="00430B4A"/>
    <w:rsid w:val="00430F1B"/>
    <w:rsid w:val="004314F7"/>
    <w:rsid w:val="004317B6"/>
    <w:rsid w:val="00431895"/>
    <w:rsid w:val="004318BD"/>
    <w:rsid w:val="00431C27"/>
    <w:rsid w:val="00431DFE"/>
    <w:rsid w:val="00431E01"/>
    <w:rsid w:val="00431E12"/>
    <w:rsid w:val="00431F73"/>
    <w:rsid w:val="0043205F"/>
    <w:rsid w:val="0043235C"/>
    <w:rsid w:val="00432588"/>
    <w:rsid w:val="004326B3"/>
    <w:rsid w:val="00432C13"/>
    <w:rsid w:val="00432F2C"/>
    <w:rsid w:val="0043301E"/>
    <w:rsid w:val="0043316D"/>
    <w:rsid w:val="004331AC"/>
    <w:rsid w:val="0043339B"/>
    <w:rsid w:val="004337A7"/>
    <w:rsid w:val="004337F4"/>
    <w:rsid w:val="00433825"/>
    <w:rsid w:val="00433A7F"/>
    <w:rsid w:val="00433C42"/>
    <w:rsid w:val="00433D11"/>
    <w:rsid w:val="004340F9"/>
    <w:rsid w:val="00434C33"/>
    <w:rsid w:val="004353CF"/>
    <w:rsid w:val="004355A9"/>
    <w:rsid w:val="004357E6"/>
    <w:rsid w:val="004359D2"/>
    <w:rsid w:val="00435A6C"/>
    <w:rsid w:val="00435D4E"/>
    <w:rsid w:val="00436003"/>
    <w:rsid w:val="0043601C"/>
    <w:rsid w:val="00436079"/>
    <w:rsid w:val="004363D5"/>
    <w:rsid w:val="00436508"/>
    <w:rsid w:val="0043683F"/>
    <w:rsid w:val="00436E23"/>
    <w:rsid w:val="00436E7C"/>
    <w:rsid w:val="00436F30"/>
    <w:rsid w:val="004376F2"/>
    <w:rsid w:val="00437A7C"/>
    <w:rsid w:val="00440A7C"/>
    <w:rsid w:val="00440C3A"/>
    <w:rsid w:val="0044175A"/>
    <w:rsid w:val="00441A8D"/>
    <w:rsid w:val="004421A6"/>
    <w:rsid w:val="00442574"/>
    <w:rsid w:val="0044285E"/>
    <w:rsid w:val="00442DDF"/>
    <w:rsid w:val="00442F18"/>
    <w:rsid w:val="00443418"/>
    <w:rsid w:val="004437A7"/>
    <w:rsid w:val="00443B26"/>
    <w:rsid w:val="00443B27"/>
    <w:rsid w:val="00443DDE"/>
    <w:rsid w:val="00443F5B"/>
    <w:rsid w:val="00444084"/>
    <w:rsid w:val="004448D0"/>
    <w:rsid w:val="004448E2"/>
    <w:rsid w:val="00444AF6"/>
    <w:rsid w:val="00444D55"/>
    <w:rsid w:val="00445446"/>
    <w:rsid w:val="00446E68"/>
    <w:rsid w:val="00447347"/>
    <w:rsid w:val="00447474"/>
    <w:rsid w:val="004475D5"/>
    <w:rsid w:val="00447699"/>
    <w:rsid w:val="00447A8F"/>
    <w:rsid w:val="00447D7A"/>
    <w:rsid w:val="00447D82"/>
    <w:rsid w:val="004500B4"/>
    <w:rsid w:val="00450219"/>
    <w:rsid w:val="00450222"/>
    <w:rsid w:val="0045024B"/>
    <w:rsid w:val="004505BB"/>
    <w:rsid w:val="00450752"/>
    <w:rsid w:val="004509AA"/>
    <w:rsid w:val="00450B07"/>
    <w:rsid w:val="00450B2D"/>
    <w:rsid w:val="00451028"/>
    <w:rsid w:val="00451384"/>
    <w:rsid w:val="004513A6"/>
    <w:rsid w:val="00451552"/>
    <w:rsid w:val="0045176E"/>
    <w:rsid w:val="00451F0F"/>
    <w:rsid w:val="00451F41"/>
    <w:rsid w:val="0045207B"/>
    <w:rsid w:val="0045211F"/>
    <w:rsid w:val="00452292"/>
    <w:rsid w:val="00452379"/>
    <w:rsid w:val="0045318D"/>
    <w:rsid w:val="0045332C"/>
    <w:rsid w:val="00453561"/>
    <w:rsid w:val="00453676"/>
    <w:rsid w:val="00453A0B"/>
    <w:rsid w:val="00454005"/>
    <w:rsid w:val="00454011"/>
    <w:rsid w:val="004543E1"/>
    <w:rsid w:val="0045459C"/>
    <w:rsid w:val="00454749"/>
    <w:rsid w:val="00454DE8"/>
    <w:rsid w:val="00455012"/>
    <w:rsid w:val="004551D1"/>
    <w:rsid w:val="00455251"/>
    <w:rsid w:val="00455260"/>
    <w:rsid w:val="004553B3"/>
    <w:rsid w:val="00455520"/>
    <w:rsid w:val="004556D7"/>
    <w:rsid w:val="004558A5"/>
    <w:rsid w:val="00455CEB"/>
    <w:rsid w:val="00456012"/>
    <w:rsid w:val="0045619D"/>
    <w:rsid w:val="0045621F"/>
    <w:rsid w:val="00456602"/>
    <w:rsid w:val="00456C67"/>
    <w:rsid w:val="00456D44"/>
    <w:rsid w:val="004570B6"/>
    <w:rsid w:val="00457629"/>
    <w:rsid w:val="0045771A"/>
    <w:rsid w:val="00460A62"/>
    <w:rsid w:val="00460CB5"/>
    <w:rsid w:val="00461CC7"/>
    <w:rsid w:val="00461FE3"/>
    <w:rsid w:val="00462445"/>
    <w:rsid w:val="004629C5"/>
    <w:rsid w:val="00463015"/>
    <w:rsid w:val="004631E8"/>
    <w:rsid w:val="0046344B"/>
    <w:rsid w:val="00463683"/>
    <w:rsid w:val="00463878"/>
    <w:rsid w:val="00463D02"/>
    <w:rsid w:val="00463FFF"/>
    <w:rsid w:val="0046493F"/>
    <w:rsid w:val="0046530A"/>
    <w:rsid w:val="0046533A"/>
    <w:rsid w:val="00465542"/>
    <w:rsid w:val="004655AE"/>
    <w:rsid w:val="004658CF"/>
    <w:rsid w:val="00465E58"/>
    <w:rsid w:val="0046626C"/>
    <w:rsid w:val="00466B80"/>
    <w:rsid w:val="00466F54"/>
    <w:rsid w:val="004671CD"/>
    <w:rsid w:val="004672DC"/>
    <w:rsid w:val="0046784F"/>
    <w:rsid w:val="00467917"/>
    <w:rsid w:val="004679FC"/>
    <w:rsid w:val="00467F69"/>
    <w:rsid w:val="0047014E"/>
    <w:rsid w:val="0047028C"/>
    <w:rsid w:val="004702D4"/>
    <w:rsid w:val="00470407"/>
    <w:rsid w:val="004707D0"/>
    <w:rsid w:val="00470CC2"/>
    <w:rsid w:val="00470D51"/>
    <w:rsid w:val="00470E60"/>
    <w:rsid w:val="00471036"/>
    <w:rsid w:val="004711A4"/>
    <w:rsid w:val="0047250E"/>
    <w:rsid w:val="00472AAB"/>
    <w:rsid w:val="00472D83"/>
    <w:rsid w:val="00473CB2"/>
    <w:rsid w:val="004742A7"/>
    <w:rsid w:val="004743C0"/>
    <w:rsid w:val="004748F9"/>
    <w:rsid w:val="00474962"/>
    <w:rsid w:val="00474F24"/>
    <w:rsid w:val="00475005"/>
    <w:rsid w:val="004751FB"/>
    <w:rsid w:val="0047525A"/>
    <w:rsid w:val="00475876"/>
    <w:rsid w:val="00475E76"/>
    <w:rsid w:val="004761F5"/>
    <w:rsid w:val="00476589"/>
    <w:rsid w:val="004768A2"/>
    <w:rsid w:val="00476AF6"/>
    <w:rsid w:val="00476BBA"/>
    <w:rsid w:val="00476CC9"/>
    <w:rsid w:val="00476D6E"/>
    <w:rsid w:val="00476EEC"/>
    <w:rsid w:val="00477068"/>
    <w:rsid w:val="00477170"/>
    <w:rsid w:val="00477496"/>
    <w:rsid w:val="0047789A"/>
    <w:rsid w:val="004778EB"/>
    <w:rsid w:val="00480138"/>
    <w:rsid w:val="004808A3"/>
    <w:rsid w:val="00480BB0"/>
    <w:rsid w:val="00480BD5"/>
    <w:rsid w:val="00480D57"/>
    <w:rsid w:val="0048107F"/>
    <w:rsid w:val="0048121C"/>
    <w:rsid w:val="004812AE"/>
    <w:rsid w:val="0048134D"/>
    <w:rsid w:val="00481642"/>
    <w:rsid w:val="00481970"/>
    <w:rsid w:val="0048201E"/>
    <w:rsid w:val="004825C1"/>
    <w:rsid w:val="00482AC6"/>
    <w:rsid w:val="00482AD7"/>
    <w:rsid w:val="00482CBA"/>
    <w:rsid w:val="00483C98"/>
    <w:rsid w:val="0048487C"/>
    <w:rsid w:val="004848E3"/>
    <w:rsid w:val="00484DA1"/>
    <w:rsid w:val="00484FEF"/>
    <w:rsid w:val="0048580F"/>
    <w:rsid w:val="00485E4A"/>
    <w:rsid w:val="004863A0"/>
    <w:rsid w:val="004864FF"/>
    <w:rsid w:val="0048699D"/>
    <w:rsid w:val="00486A56"/>
    <w:rsid w:val="0048708B"/>
    <w:rsid w:val="004870AA"/>
    <w:rsid w:val="00487290"/>
    <w:rsid w:val="0048751B"/>
    <w:rsid w:val="00487FB8"/>
    <w:rsid w:val="00487FFC"/>
    <w:rsid w:val="0049041A"/>
    <w:rsid w:val="00490963"/>
    <w:rsid w:val="00490CD3"/>
    <w:rsid w:val="00490E99"/>
    <w:rsid w:val="00491276"/>
    <w:rsid w:val="00491426"/>
    <w:rsid w:val="004914A5"/>
    <w:rsid w:val="00491645"/>
    <w:rsid w:val="0049169D"/>
    <w:rsid w:val="00491C7B"/>
    <w:rsid w:val="00491DAE"/>
    <w:rsid w:val="00492140"/>
    <w:rsid w:val="00492442"/>
    <w:rsid w:val="0049248E"/>
    <w:rsid w:val="004928AA"/>
    <w:rsid w:val="004928D2"/>
    <w:rsid w:val="00492B79"/>
    <w:rsid w:val="00492EDD"/>
    <w:rsid w:val="0049309F"/>
    <w:rsid w:val="00493271"/>
    <w:rsid w:val="00493378"/>
    <w:rsid w:val="00493432"/>
    <w:rsid w:val="00493544"/>
    <w:rsid w:val="00494470"/>
    <w:rsid w:val="004949D9"/>
    <w:rsid w:val="00494CB3"/>
    <w:rsid w:val="00494F26"/>
    <w:rsid w:val="00495BA7"/>
    <w:rsid w:val="00495EEF"/>
    <w:rsid w:val="004960DC"/>
    <w:rsid w:val="004960E5"/>
    <w:rsid w:val="00496577"/>
    <w:rsid w:val="004967D5"/>
    <w:rsid w:val="00496C8B"/>
    <w:rsid w:val="00496D89"/>
    <w:rsid w:val="00496ECF"/>
    <w:rsid w:val="00497719"/>
    <w:rsid w:val="00497B4E"/>
    <w:rsid w:val="004A057A"/>
    <w:rsid w:val="004A063B"/>
    <w:rsid w:val="004A07A1"/>
    <w:rsid w:val="004A0ADC"/>
    <w:rsid w:val="004A1026"/>
    <w:rsid w:val="004A1453"/>
    <w:rsid w:val="004A1939"/>
    <w:rsid w:val="004A1EAD"/>
    <w:rsid w:val="004A1F74"/>
    <w:rsid w:val="004A1FB0"/>
    <w:rsid w:val="004A21E8"/>
    <w:rsid w:val="004A2717"/>
    <w:rsid w:val="004A27ED"/>
    <w:rsid w:val="004A3434"/>
    <w:rsid w:val="004A371C"/>
    <w:rsid w:val="004A38CF"/>
    <w:rsid w:val="004A3C7A"/>
    <w:rsid w:val="004A3EA1"/>
    <w:rsid w:val="004A4600"/>
    <w:rsid w:val="004A47B3"/>
    <w:rsid w:val="004A4980"/>
    <w:rsid w:val="004A4B1D"/>
    <w:rsid w:val="004A4E6E"/>
    <w:rsid w:val="004A4FC4"/>
    <w:rsid w:val="004A550B"/>
    <w:rsid w:val="004A5E8B"/>
    <w:rsid w:val="004A5F3C"/>
    <w:rsid w:val="004A6CC0"/>
    <w:rsid w:val="004A74BA"/>
    <w:rsid w:val="004A754F"/>
    <w:rsid w:val="004A77F4"/>
    <w:rsid w:val="004A7910"/>
    <w:rsid w:val="004A79EA"/>
    <w:rsid w:val="004A7A46"/>
    <w:rsid w:val="004A7C3D"/>
    <w:rsid w:val="004A7D23"/>
    <w:rsid w:val="004B008D"/>
    <w:rsid w:val="004B070A"/>
    <w:rsid w:val="004B0DE1"/>
    <w:rsid w:val="004B1252"/>
    <w:rsid w:val="004B1336"/>
    <w:rsid w:val="004B15AC"/>
    <w:rsid w:val="004B1609"/>
    <w:rsid w:val="004B1C5F"/>
    <w:rsid w:val="004B1DE3"/>
    <w:rsid w:val="004B2267"/>
    <w:rsid w:val="004B2531"/>
    <w:rsid w:val="004B2DBA"/>
    <w:rsid w:val="004B3293"/>
    <w:rsid w:val="004B3420"/>
    <w:rsid w:val="004B3519"/>
    <w:rsid w:val="004B3655"/>
    <w:rsid w:val="004B3BC3"/>
    <w:rsid w:val="004B3E5D"/>
    <w:rsid w:val="004B3F6D"/>
    <w:rsid w:val="004B4409"/>
    <w:rsid w:val="004B4696"/>
    <w:rsid w:val="004B4865"/>
    <w:rsid w:val="004B49F1"/>
    <w:rsid w:val="004B5130"/>
    <w:rsid w:val="004B526C"/>
    <w:rsid w:val="004B54B1"/>
    <w:rsid w:val="004B56A2"/>
    <w:rsid w:val="004B590C"/>
    <w:rsid w:val="004B5A78"/>
    <w:rsid w:val="004B5C90"/>
    <w:rsid w:val="004B5D60"/>
    <w:rsid w:val="004B5DD6"/>
    <w:rsid w:val="004B5F06"/>
    <w:rsid w:val="004B6098"/>
    <w:rsid w:val="004B6249"/>
    <w:rsid w:val="004B62C6"/>
    <w:rsid w:val="004B62F4"/>
    <w:rsid w:val="004B6750"/>
    <w:rsid w:val="004B6B6C"/>
    <w:rsid w:val="004B6EA6"/>
    <w:rsid w:val="004B7069"/>
    <w:rsid w:val="004B74AF"/>
    <w:rsid w:val="004B7C83"/>
    <w:rsid w:val="004B7D83"/>
    <w:rsid w:val="004C00E4"/>
    <w:rsid w:val="004C05EC"/>
    <w:rsid w:val="004C09A2"/>
    <w:rsid w:val="004C0CF9"/>
    <w:rsid w:val="004C0DEB"/>
    <w:rsid w:val="004C1235"/>
    <w:rsid w:val="004C13BC"/>
    <w:rsid w:val="004C1510"/>
    <w:rsid w:val="004C15B2"/>
    <w:rsid w:val="004C1D37"/>
    <w:rsid w:val="004C250B"/>
    <w:rsid w:val="004C297C"/>
    <w:rsid w:val="004C2C7C"/>
    <w:rsid w:val="004C2FE1"/>
    <w:rsid w:val="004C30FB"/>
    <w:rsid w:val="004C343C"/>
    <w:rsid w:val="004C368A"/>
    <w:rsid w:val="004C371C"/>
    <w:rsid w:val="004C38EA"/>
    <w:rsid w:val="004C3FAD"/>
    <w:rsid w:val="004C4193"/>
    <w:rsid w:val="004C41C4"/>
    <w:rsid w:val="004C427C"/>
    <w:rsid w:val="004C43EB"/>
    <w:rsid w:val="004C4929"/>
    <w:rsid w:val="004C4C14"/>
    <w:rsid w:val="004C4D5B"/>
    <w:rsid w:val="004C53F8"/>
    <w:rsid w:val="004C5965"/>
    <w:rsid w:val="004C5D9F"/>
    <w:rsid w:val="004C5F7C"/>
    <w:rsid w:val="004C6427"/>
    <w:rsid w:val="004C6474"/>
    <w:rsid w:val="004C6625"/>
    <w:rsid w:val="004C673B"/>
    <w:rsid w:val="004C6B16"/>
    <w:rsid w:val="004C6BD8"/>
    <w:rsid w:val="004C6FBC"/>
    <w:rsid w:val="004C72DD"/>
    <w:rsid w:val="004C76BB"/>
    <w:rsid w:val="004C76D7"/>
    <w:rsid w:val="004C7B13"/>
    <w:rsid w:val="004C7B55"/>
    <w:rsid w:val="004C7C57"/>
    <w:rsid w:val="004C7FB8"/>
    <w:rsid w:val="004D0829"/>
    <w:rsid w:val="004D08AE"/>
    <w:rsid w:val="004D0A32"/>
    <w:rsid w:val="004D0EC4"/>
    <w:rsid w:val="004D1449"/>
    <w:rsid w:val="004D1D5C"/>
    <w:rsid w:val="004D1F83"/>
    <w:rsid w:val="004D26B4"/>
    <w:rsid w:val="004D285B"/>
    <w:rsid w:val="004D2924"/>
    <w:rsid w:val="004D2958"/>
    <w:rsid w:val="004D2EC3"/>
    <w:rsid w:val="004D348B"/>
    <w:rsid w:val="004D391A"/>
    <w:rsid w:val="004D3D75"/>
    <w:rsid w:val="004D4035"/>
    <w:rsid w:val="004D4445"/>
    <w:rsid w:val="004D4848"/>
    <w:rsid w:val="004D507D"/>
    <w:rsid w:val="004D51A8"/>
    <w:rsid w:val="004D55C1"/>
    <w:rsid w:val="004D5C2A"/>
    <w:rsid w:val="004D5D55"/>
    <w:rsid w:val="004D635E"/>
    <w:rsid w:val="004D68F1"/>
    <w:rsid w:val="004D694B"/>
    <w:rsid w:val="004D6AE8"/>
    <w:rsid w:val="004D6E68"/>
    <w:rsid w:val="004D6EA3"/>
    <w:rsid w:val="004D6F91"/>
    <w:rsid w:val="004D7237"/>
    <w:rsid w:val="004D72F3"/>
    <w:rsid w:val="004D77B2"/>
    <w:rsid w:val="004D7EA4"/>
    <w:rsid w:val="004D7F40"/>
    <w:rsid w:val="004D7F72"/>
    <w:rsid w:val="004E0295"/>
    <w:rsid w:val="004E05B8"/>
    <w:rsid w:val="004E1365"/>
    <w:rsid w:val="004E1410"/>
    <w:rsid w:val="004E1752"/>
    <w:rsid w:val="004E177F"/>
    <w:rsid w:val="004E1A77"/>
    <w:rsid w:val="004E1BEA"/>
    <w:rsid w:val="004E1E9F"/>
    <w:rsid w:val="004E2419"/>
    <w:rsid w:val="004E2484"/>
    <w:rsid w:val="004E2E70"/>
    <w:rsid w:val="004E3132"/>
    <w:rsid w:val="004E3C7D"/>
    <w:rsid w:val="004E3E96"/>
    <w:rsid w:val="004E42C0"/>
    <w:rsid w:val="004E4384"/>
    <w:rsid w:val="004E44E7"/>
    <w:rsid w:val="004E46FE"/>
    <w:rsid w:val="004E4968"/>
    <w:rsid w:val="004E4FC0"/>
    <w:rsid w:val="004E4FE5"/>
    <w:rsid w:val="004E565F"/>
    <w:rsid w:val="004E5845"/>
    <w:rsid w:val="004E5884"/>
    <w:rsid w:val="004E624C"/>
    <w:rsid w:val="004E6345"/>
    <w:rsid w:val="004E673E"/>
    <w:rsid w:val="004E675C"/>
    <w:rsid w:val="004E6920"/>
    <w:rsid w:val="004E6F8E"/>
    <w:rsid w:val="004E7053"/>
    <w:rsid w:val="004E74D9"/>
    <w:rsid w:val="004E7AD2"/>
    <w:rsid w:val="004E7B6A"/>
    <w:rsid w:val="004E7E17"/>
    <w:rsid w:val="004E7FAE"/>
    <w:rsid w:val="004F00C4"/>
    <w:rsid w:val="004F0487"/>
    <w:rsid w:val="004F137B"/>
    <w:rsid w:val="004F14D2"/>
    <w:rsid w:val="004F1DB2"/>
    <w:rsid w:val="004F271D"/>
    <w:rsid w:val="004F27C8"/>
    <w:rsid w:val="004F2D0D"/>
    <w:rsid w:val="004F2D17"/>
    <w:rsid w:val="004F2D28"/>
    <w:rsid w:val="004F2DED"/>
    <w:rsid w:val="004F2F73"/>
    <w:rsid w:val="004F3CF4"/>
    <w:rsid w:val="004F3E8E"/>
    <w:rsid w:val="004F4909"/>
    <w:rsid w:val="004F4AFC"/>
    <w:rsid w:val="004F4BA7"/>
    <w:rsid w:val="004F4F0C"/>
    <w:rsid w:val="004F5277"/>
    <w:rsid w:val="004F5B19"/>
    <w:rsid w:val="004F5D7C"/>
    <w:rsid w:val="004F5E58"/>
    <w:rsid w:val="004F60B3"/>
    <w:rsid w:val="004F61E2"/>
    <w:rsid w:val="004F637C"/>
    <w:rsid w:val="004F67D3"/>
    <w:rsid w:val="004F6EA4"/>
    <w:rsid w:val="004F703B"/>
    <w:rsid w:val="004F70CB"/>
    <w:rsid w:val="0050013A"/>
    <w:rsid w:val="00500C09"/>
    <w:rsid w:val="00500E86"/>
    <w:rsid w:val="0050102E"/>
    <w:rsid w:val="005011CB"/>
    <w:rsid w:val="005011DB"/>
    <w:rsid w:val="00501740"/>
    <w:rsid w:val="005019F2"/>
    <w:rsid w:val="00501BB9"/>
    <w:rsid w:val="00501F30"/>
    <w:rsid w:val="00501FAB"/>
    <w:rsid w:val="00502203"/>
    <w:rsid w:val="00502661"/>
    <w:rsid w:val="0050273A"/>
    <w:rsid w:val="00502CDD"/>
    <w:rsid w:val="00502EB2"/>
    <w:rsid w:val="005033F2"/>
    <w:rsid w:val="00503501"/>
    <w:rsid w:val="0050355B"/>
    <w:rsid w:val="005038F3"/>
    <w:rsid w:val="00503C9A"/>
    <w:rsid w:val="00503EC4"/>
    <w:rsid w:val="00504025"/>
    <w:rsid w:val="00504243"/>
    <w:rsid w:val="00504416"/>
    <w:rsid w:val="005048F1"/>
    <w:rsid w:val="0050512E"/>
    <w:rsid w:val="00505860"/>
    <w:rsid w:val="005059C1"/>
    <w:rsid w:val="00506291"/>
    <w:rsid w:val="00506A0C"/>
    <w:rsid w:val="00506C9E"/>
    <w:rsid w:val="00506CA2"/>
    <w:rsid w:val="00507385"/>
    <w:rsid w:val="00507BAC"/>
    <w:rsid w:val="00507CA3"/>
    <w:rsid w:val="00507CE2"/>
    <w:rsid w:val="00507FCC"/>
    <w:rsid w:val="0051001A"/>
    <w:rsid w:val="00510230"/>
    <w:rsid w:val="00510858"/>
    <w:rsid w:val="00510874"/>
    <w:rsid w:val="005108FE"/>
    <w:rsid w:val="00510994"/>
    <w:rsid w:val="00510CB9"/>
    <w:rsid w:val="00510F6F"/>
    <w:rsid w:val="0051138C"/>
    <w:rsid w:val="005118EA"/>
    <w:rsid w:val="0051193A"/>
    <w:rsid w:val="00512029"/>
    <w:rsid w:val="00512741"/>
    <w:rsid w:val="00512D64"/>
    <w:rsid w:val="0051362A"/>
    <w:rsid w:val="005137E8"/>
    <w:rsid w:val="00513CC3"/>
    <w:rsid w:val="005147C6"/>
    <w:rsid w:val="00514C70"/>
    <w:rsid w:val="00514F4D"/>
    <w:rsid w:val="0051546C"/>
    <w:rsid w:val="0051568D"/>
    <w:rsid w:val="005156A1"/>
    <w:rsid w:val="0051577A"/>
    <w:rsid w:val="00515987"/>
    <w:rsid w:val="00516422"/>
    <w:rsid w:val="0051647C"/>
    <w:rsid w:val="00516520"/>
    <w:rsid w:val="005169E1"/>
    <w:rsid w:val="00516FB3"/>
    <w:rsid w:val="005171DF"/>
    <w:rsid w:val="00517912"/>
    <w:rsid w:val="00517E3B"/>
    <w:rsid w:val="00520134"/>
    <w:rsid w:val="005202F8"/>
    <w:rsid w:val="00520574"/>
    <w:rsid w:val="005205FF"/>
    <w:rsid w:val="005208D9"/>
    <w:rsid w:val="00520ACE"/>
    <w:rsid w:val="00520B85"/>
    <w:rsid w:val="00520C6B"/>
    <w:rsid w:val="00521018"/>
    <w:rsid w:val="00521104"/>
    <w:rsid w:val="005215EE"/>
    <w:rsid w:val="00521625"/>
    <w:rsid w:val="005218F6"/>
    <w:rsid w:val="00521E4D"/>
    <w:rsid w:val="00521E7B"/>
    <w:rsid w:val="00521F5E"/>
    <w:rsid w:val="0052254C"/>
    <w:rsid w:val="0052255A"/>
    <w:rsid w:val="00522DA9"/>
    <w:rsid w:val="005232FC"/>
    <w:rsid w:val="00523678"/>
    <w:rsid w:val="00523897"/>
    <w:rsid w:val="005239A0"/>
    <w:rsid w:val="00523D1A"/>
    <w:rsid w:val="00524017"/>
    <w:rsid w:val="005245EB"/>
    <w:rsid w:val="00524D5A"/>
    <w:rsid w:val="005251F1"/>
    <w:rsid w:val="005253BA"/>
    <w:rsid w:val="00525FE5"/>
    <w:rsid w:val="005265F8"/>
    <w:rsid w:val="00526AD2"/>
    <w:rsid w:val="00526B34"/>
    <w:rsid w:val="00526C9D"/>
    <w:rsid w:val="00527081"/>
    <w:rsid w:val="005270BE"/>
    <w:rsid w:val="005272B6"/>
    <w:rsid w:val="0052748B"/>
    <w:rsid w:val="00527688"/>
    <w:rsid w:val="005304D8"/>
    <w:rsid w:val="0053081E"/>
    <w:rsid w:val="00530B97"/>
    <w:rsid w:val="00530C54"/>
    <w:rsid w:val="00530CD6"/>
    <w:rsid w:val="0053111B"/>
    <w:rsid w:val="005316ED"/>
    <w:rsid w:val="0053176C"/>
    <w:rsid w:val="00531A1F"/>
    <w:rsid w:val="00531CC8"/>
    <w:rsid w:val="00531E42"/>
    <w:rsid w:val="00532363"/>
    <w:rsid w:val="005325CD"/>
    <w:rsid w:val="00532872"/>
    <w:rsid w:val="005328F8"/>
    <w:rsid w:val="00532FDC"/>
    <w:rsid w:val="00533068"/>
    <w:rsid w:val="0053354D"/>
    <w:rsid w:val="0053384A"/>
    <w:rsid w:val="00533878"/>
    <w:rsid w:val="005338D2"/>
    <w:rsid w:val="00533BEC"/>
    <w:rsid w:val="00534B4F"/>
    <w:rsid w:val="00535829"/>
    <w:rsid w:val="00535ED5"/>
    <w:rsid w:val="00536396"/>
    <w:rsid w:val="00536648"/>
    <w:rsid w:val="005366A4"/>
    <w:rsid w:val="005366D5"/>
    <w:rsid w:val="005367E8"/>
    <w:rsid w:val="00536AD6"/>
    <w:rsid w:val="00536B10"/>
    <w:rsid w:val="00536BAE"/>
    <w:rsid w:val="00536DBB"/>
    <w:rsid w:val="0053712F"/>
    <w:rsid w:val="0053727B"/>
    <w:rsid w:val="005373BE"/>
    <w:rsid w:val="0053743A"/>
    <w:rsid w:val="00537554"/>
    <w:rsid w:val="00537764"/>
    <w:rsid w:val="005377CD"/>
    <w:rsid w:val="00540115"/>
    <w:rsid w:val="005401B1"/>
    <w:rsid w:val="00540368"/>
    <w:rsid w:val="00541410"/>
    <w:rsid w:val="00541817"/>
    <w:rsid w:val="00541BFC"/>
    <w:rsid w:val="00541F42"/>
    <w:rsid w:val="00542110"/>
    <w:rsid w:val="00542331"/>
    <w:rsid w:val="00542707"/>
    <w:rsid w:val="005427BF"/>
    <w:rsid w:val="0054281F"/>
    <w:rsid w:val="00542B9D"/>
    <w:rsid w:val="00542CEB"/>
    <w:rsid w:val="00542EC6"/>
    <w:rsid w:val="005435F0"/>
    <w:rsid w:val="00543C47"/>
    <w:rsid w:val="00544851"/>
    <w:rsid w:val="005448A0"/>
    <w:rsid w:val="00544C83"/>
    <w:rsid w:val="00544EBF"/>
    <w:rsid w:val="00545501"/>
    <w:rsid w:val="00545717"/>
    <w:rsid w:val="00545A4E"/>
    <w:rsid w:val="00545EF4"/>
    <w:rsid w:val="0054635E"/>
    <w:rsid w:val="005463A9"/>
    <w:rsid w:val="00546664"/>
    <w:rsid w:val="005469CD"/>
    <w:rsid w:val="00546A0D"/>
    <w:rsid w:val="00546A17"/>
    <w:rsid w:val="00546E0B"/>
    <w:rsid w:val="00547810"/>
    <w:rsid w:val="005478CF"/>
    <w:rsid w:val="00547A7B"/>
    <w:rsid w:val="00547BEF"/>
    <w:rsid w:val="00547EE0"/>
    <w:rsid w:val="00547F28"/>
    <w:rsid w:val="00547F31"/>
    <w:rsid w:val="00550168"/>
    <w:rsid w:val="00550674"/>
    <w:rsid w:val="00550FC4"/>
    <w:rsid w:val="0055134C"/>
    <w:rsid w:val="00551420"/>
    <w:rsid w:val="005518C6"/>
    <w:rsid w:val="00551A5D"/>
    <w:rsid w:val="00551BD1"/>
    <w:rsid w:val="00551FC9"/>
    <w:rsid w:val="00552214"/>
    <w:rsid w:val="00552945"/>
    <w:rsid w:val="00552BA6"/>
    <w:rsid w:val="00552BBF"/>
    <w:rsid w:val="00552DEF"/>
    <w:rsid w:val="005535BC"/>
    <w:rsid w:val="00553AC8"/>
    <w:rsid w:val="0055408A"/>
    <w:rsid w:val="005540A4"/>
    <w:rsid w:val="00554B9E"/>
    <w:rsid w:val="00554BB1"/>
    <w:rsid w:val="00554D19"/>
    <w:rsid w:val="00555146"/>
    <w:rsid w:val="00555EB5"/>
    <w:rsid w:val="005561D2"/>
    <w:rsid w:val="005566EC"/>
    <w:rsid w:val="0055680C"/>
    <w:rsid w:val="00556868"/>
    <w:rsid w:val="005570DD"/>
    <w:rsid w:val="005574E6"/>
    <w:rsid w:val="0055770D"/>
    <w:rsid w:val="00557C19"/>
    <w:rsid w:val="00557C4E"/>
    <w:rsid w:val="00560031"/>
    <w:rsid w:val="005601B2"/>
    <w:rsid w:val="005601B5"/>
    <w:rsid w:val="00560316"/>
    <w:rsid w:val="00560367"/>
    <w:rsid w:val="00560917"/>
    <w:rsid w:val="00560FE6"/>
    <w:rsid w:val="00561204"/>
    <w:rsid w:val="00561324"/>
    <w:rsid w:val="005617AE"/>
    <w:rsid w:val="00561A23"/>
    <w:rsid w:val="00561F47"/>
    <w:rsid w:val="005621A6"/>
    <w:rsid w:val="00562413"/>
    <w:rsid w:val="005626EE"/>
    <w:rsid w:val="00562811"/>
    <w:rsid w:val="005628BB"/>
    <w:rsid w:val="00562C6E"/>
    <w:rsid w:val="00562D37"/>
    <w:rsid w:val="00563086"/>
    <w:rsid w:val="005630B4"/>
    <w:rsid w:val="00563361"/>
    <w:rsid w:val="005635B1"/>
    <w:rsid w:val="005636C2"/>
    <w:rsid w:val="0056486B"/>
    <w:rsid w:val="00564A54"/>
    <w:rsid w:val="00564BD7"/>
    <w:rsid w:val="00564EDE"/>
    <w:rsid w:val="0056534A"/>
    <w:rsid w:val="00565529"/>
    <w:rsid w:val="0056566A"/>
    <w:rsid w:val="00565F17"/>
    <w:rsid w:val="00566210"/>
    <w:rsid w:val="00566432"/>
    <w:rsid w:val="005668E1"/>
    <w:rsid w:val="00566A3D"/>
    <w:rsid w:val="00566A6A"/>
    <w:rsid w:val="00566CB0"/>
    <w:rsid w:val="0056715C"/>
    <w:rsid w:val="005671A7"/>
    <w:rsid w:val="005675EE"/>
    <w:rsid w:val="0056791F"/>
    <w:rsid w:val="00567CAF"/>
    <w:rsid w:val="0057015A"/>
    <w:rsid w:val="0057035F"/>
    <w:rsid w:val="005706E4"/>
    <w:rsid w:val="00570A6D"/>
    <w:rsid w:val="00570F69"/>
    <w:rsid w:val="00571384"/>
    <w:rsid w:val="00571792"/>
    <w:rsid w:val="005717C4"/>
    <w:rsid w:val="00571CC4"/>
    <w:rsid w:val="00571CDE"/>
    <w:rsid w:val="00571D30"/>
    <w:rsid w:val="005725F9"/>
    <w:rsid w:val="0057274D"/>
    <w:rsid w:val="00572985"/>
    <w:rsid w:val="0057328C"/>
    <w:rsid w:val="005734CE"/>
    <w:rsid w:val="005734E8"/>
    <w:rsid w:val="00573EB6"/>
    <w:rsid w:val="00574070"/>
    <w:rsid w:val="0057421B"/>
    <w:rsid w:val="005742BA"/>
    <w:rsid w:val="005743E9"/>
    <w:rsid w:val="005744F7"/>
    <w:rsid w:val="0057478C"/>
    <w:rsid w:val="0057498B"/>
    <w:rsid w:val="00574B71"/>
    <w:rsid w:val="00574C05"/>
    <w:rsid w:val="00574D72"/>
    <w:rsid w:val="00574FB9"/>
    <w:rsid w:val="00575121"/>
    <w:rsid w:val="0057522F"/>
    <w:rsid w:val="005757F0"/>
    <w:rsid w:val="00575A04"/>
    <w:rsid w:val="00575CF9"/>
    <w:rsid w:val="00575E92"/>
    <w:rsid w:val="00575FF3"/>
    <w:rsid w:val="00576206"/>
    <w:rsid w:val="005762A5"/>
    <w:rsid w:val="005764C8"/>
    <w:rsid w:val="0057650B"/>
    <w:rsid w:val="0057660F"/>
    <w:rsid w:val="00576864"/>
    <w:rsid w:val="00576D12"/>
    <w:rsid w:val="0057706B"/>
    <w:rsid w:val="0057730B"/>
    <w:rsid w:val="005773CE"/>
    <w:rsid w:val="00577760"/>
    <w:rsid w:val="00577C38"/>
    <w:rsid w:val="00577CB9"/>
    <w:rsid w:val="00577CF4"/>
    <w:rsid w:val="005800CD"/>
    <w:rsid w:val="0058034F"/>
    <w:rsid w:val="005805C3"/>
    <w:rsid w:val="00580692"/>
    <w:rsid w:val="00580F07"/>
    <w:rsid w:val="00581579"/>
    <w:rsid w:val="005815D3"/>
    <w:rsid w:val="00582161"/>
    <w:rsid w:val="005824D9"/>
    <w:rsid w:val="00582604"/>
    <w:rsid w:val="00582761"/>
    <w:rsid w:val="00582809"/>
    <w:rsid w:val="00582899"/>
    <w:rsid w:val="005829A1"/>
    <w:rsid w:val="00583181"/>
    <w:rsid w:val="005834B6"/>
    <w:rsid w:val="005836D5"/>
    <w:rsid w:val="0058430A"/>
    <w:rsid w:val="0058456F"/>
    <w:rsid w:val="00584A54"/>
    <w:rsid w:val="005850DA"/>
    <w:rsid w:val="00585568"/>
    <w:rsid w:val="005856D7"/>
    <w:rsid w:val="005858AA"/>
    <w:rsid w:val="0058596C"/>
    <w:rsid w:val="00585A3F"/>
    <w:rsid w:val="00585CBE"/>
    <w:rsid w:val="00587000"/>
    <w:rsid w:val="00587097"/>
    <w:rsid w:val="00587506"/>
    <w:rsid w:val="0058777E"/>
    <w:rsid w:val="00587BA9"/>
    <w:rsid w:val="00587C2D"/>
    <w:rsid w:val="005900FF"/>
    <w:rsid w:val="005902B6"/>
    <w:rsid w:val="005903B1"/>
    <w:rsid w:val="0059098F"/>
    <w:rsid w:val="00590BDB"/>
    <w:rsid w:val="005910E8"/>
    <w:rsid w:val="005914F4"/>
    <w:rsid w:val="00591AE8"/>
    <w:rsid w:val="00591CD0"/>
    <w:rsid w:val="00591E4B"/>
    <w:rsid w:val="00592738"/>
    <w:rsid w:val="005927AD"/>
    <w:rsid w:val="005927E2"/>
    <w:rsid w:val="00592F21"/>
    <w:rsid w:val="00593093"/>
    <w:rsid w:val="00593A24"/>
    <w:rsid w:val="00593CA8"/>
    <w:rsid w:val="00593D05"/>
    <w:rsid w:val="00593F48"/>
    <w:rsid w:val="005945C2"/>
    <w:rsid w:val="005948F8"/>
    <w:rsid w:val="00594C9E"/>
    <w:rsid w:val="00594D75"/>
    <w:rsid w:val="0059545F"/>
    <w:rsid w:val="005955D2"/>
    <w:rsid w:val="00595922"/>
    <w:rsid w:val="005966E6"/>
    <w:rsid w:val="00596712"/>
    <w:rsid w:val="00596763"/>
    <w:rsid w:val="005969CC"/>
    <w:rsid w:val="00596A13"/>
    <w:rsid w:val="00596A86"/>
    <w:rsid w:val="00596B9A"/>
    <w:rsid w:val="0059701A"/>
    <w:rsid w:val="005970F7"/>
    <w:rsid w:val="00597499"/>
    <w:rsid w:val="00597568"/>
    <w:rsid w:val="005976E7"/>
    <w:rsid w:val="00597A38"/>
    <w:rsid w:val="005A019C"/>
    <w:rsid w:val="005A0444"/>
    <w:rsid w:val="005A0830"/>
    <w:rsid w:val="005A0C01"/>
    <w:rsid w:val="005A0E70"/>
    <w:rsid w:val="005A1086"/>
    <w:rsid w:val="005A10FD"/>
    <w:rsid w:val="005A124C"/>
    <w:rsid w:val="005A1C31"/>
    <w:rsid w:val="005A2083"/>
    <w:rsid w:val="005A208B"/>
    <w:rsid w:val="005A213D"/>
    <w:rsid w:val="005A2345"/>
    <w:rsid w:val="005A241C"/>
    <w:rsid w:val="005A2570"/>
    <w:rsid w:val="005A25A2"/>
    <w:rsid w:val="005A2B35"/>
    <w:rsid w:val="005A2D16"/>
    <w:rsid w:val="005A2EAB"/>
    <w:rsid w:val="005A301D"/>
    <w:rsid w:val="005A312C"/>
    <w:rsid w:val="005A3206"/>
    <w:rsid w:val="005A32F2"/>
    <w:rsid w:val="005A3810"/>
    <w:rsid w:val="005A3E19"/>
    <w:rsid w:val="005A403D"/>
    <w:rsid w:val="005A4747"/>
    <w:rsid w:val="005A4913"/>
    <w:rsid w:val="005A4BDA"/>
    <w:rsid w:val="005A4CAF"/>
    <w:rsid w:val="005A4D62"/>
    <w:rsid w:val="005A4FAC"/>
    <w:rsid w:val="005A524C"/>
    <w:rsid w:val="005A5302"/>
    <w:rsid w:val="005A5BC8"/>
    <w:rsid w:val="005A667A"/>
    <w:rsid w:val="005A67FB"/>
    <w:rsid w:val="005A6F11"/>
    <w:rsid w:val="005A7289"/>
    <w:rsid w:val="005A729B"/>
    <w:rsid w:val="005A7652"/>
    <w:rsid w:val="005A7777"/>
    <w:rsid w:val="005A77FD"/>
    <w:rsid w:val="005A7ADD"/>
    <w:rsid w:val="005A7CA5"/>
    <w:rsid w:val="005A7DF7"/>
    <w:rsid w:val="005A7E13"/>
    <w:rsid w:val="005B029D"/>
    <w:rsid w:val="005B0C3B"/>
    <w:rsid w:val="005B0D56"/>
    <w:rsid w:val="005B0FDF"/>
    <w:rsid w:val="005B100F"/>
    <w:rsid w:val="005B103D"/>
    <w:rsid w:val="005B104A"/>
    <w:rsid w:val="005B1602"/>
    <w:rsid w:val="005B18A1"/>
    <w:rsid w:val="005B1D97"/>
    <w:rsid w:val="005B1DDD"/>
    <w:rsid w:val="005B2208"/>
    <w:rsid w:val="005B2526"/>
    <w:rsid w:val="005B2850"/>
    <w:rsid w:val="005B3386"/>
    <w:rsid w:val="005B39B8"/>
    <w:rsid w:val="005B3C8E"/>
    <w:rsid w:val="005B3D24"/>
    <w:rsid w:val="005B3F9D"/>
    <w:rsid w:val="005B4A50"/>
    <w:rsid w:val="005B4C60"/>
    <w:rsid w:val="005B5281"/>
    <w:rsid w:val="005B59EB"/>
    <w:rsid w:val="005B5C08"/>
    <w:rsid w:val="005B5D2E"/>
    <w:rsid w:val="005B62BA"/>
    <w:rsid w:val="005B6704"/>
    <w:rsid w:val="005B6843"/>
    <w:rsid w:val="005B68A3"/>
    <w:rsid w:val="005B69F9"/>
    <w:rsid w:val="005B6CBB"/>
    <w:rsid w:val="005B6CFF"/>
    <w:rsid w:val="005B6F42"/>
    <w:rsid w:val="005B70B9"/>
    <w:rsid w:val="005B728B"/>
    <w:rsid w:val="005B73A3"/>
    <w:rsid w:val="005B73FC"/>
    <w:rsid w:val="005B7F08"/>
    <w:rsid w:val="005B7F8E"/>
    <w:rsid w:val="005C0406"/>
    <w:rsid w:val="005C086D"/>
    <w:rsid w:val="005C0AE6"/>
    <w:rsid w:val="005C0E07"/>
    <w:rsid w:val="005C1331"/>
    <w:rsid w:val="005C1AA9"/>
    <w:rsid w:val="005C1DD5"/>
    <w:rsid w:val="005C23A0"/>
    <w:rsid w:val="005C26C8"/>
    <w:rsid w:val="005C3916"/>
    <w:rsid w:val="005C3A05"/>
    <w:rsid w:val="005C3B5C"/>
    <w:rsid w:val="005C3FCB"/>
    <w:rsid w:val="005C48B0"/>
    <w:rsid w:val="005C4C44"/>
    <w:rsid w:val="005C4D89"/>
    <w:rsid w:val="005C4ED2"/>
    <w:rsid w:val="005C4F7D"/>
    <w:rsid w:val="005C50C2"/>
    <w:rsid w:val="005C52BC"/>
    <w:rsid w:val="005C5542"/>
    <w:rsid w:val="005C58D7"/>
    <w:rsid w:val="005C5B70"/>
    <w:rsid w:val="005C5CCE"/>
    <w:rsid w:val="005C617E"/>
    <w:rsid w:val="005C6362"/>
    <w:rsid w:val="005C67DB"/>
    <w:rsid w:val="005C68B4"/>
    <w:rsid w:val="005C7054"/>
    <w:rsid w:val="005C71E1"/>
    <w:rsid w:val="005C762A"/>
    <w:rsid w:val="005C7ABF"/>
    <w:rsid w:val="005D01B6"/>
    <w:rsid w:val="005D023E"/>
    <w:rsid w:val="005D0531"/>
    <w:rsid w:val="005D05CB"/>
    <w:rsid w:val="005D0E24"/>
    <w:rsid w:val="005D1064"/>
    <w:rsid w:val="005D1928"/>
    <w:rsid w:val="005D1A7F"/>
    <w:rsid w:val="005D1CD1"/>
    <w:rsid w:val="005D1FEE"/>
    <w:rsid w:val="005D2085"/>
    <w:rsid w:val="005D2172"/>
    <w:rsid w:val="005D220E"/>
    <w:rsid w:val="005D2517"/>
    <w:rsid w:val="005D2554"/>
    <w:rsid w:val="005D2F67"/>
    <w:rsid w:val="005D314D"/>
    <w:rsid w:val="005D3273"/>
    <w:rsid w:val="005D3AB4"/>
    <w:rsid w:val="005D3BB4"/>
    <w:rsid w:val="005D4541"/>
    <w:rsid w:val="005D4683"/>
    <w:rsid w:val="005D4699"/>
    <w:rsid w:val="005D4771"/>
    <w:rsid w:val="005D4962"/>
    <w:rsid w:val="005D49BF"/>
    <w:rsid w:val="005D4C67"/>
    <w:rsid w:val="005D4C9C"/>
    <w:rsid w:val="005D4DE4"/>
    <w:rsid w:val="005D502A"/>
    <w:rsid w:val="005D5480"/>
    <w:rsid w:val="005D5B20"/>
    <w:rsid w:val="005D5FDD"/>
    <w:rsid w:val="005D62E6"/>
    <w:rsid w:val="005D689A"/>
    <w:rsid w:val="005D69F4"/>
    <w:rsid w:val="005D6A4D"/>
    <w:rsid w:val="005D6B61"/>
    <w:rsid w:val="005D6BAC"/>
    <w:rsid w:val="005D7569"/>
    <w:rsid w:val="005D75AF"/>
    <w:rsid w:val="005D766D"/>
    <w:rsid w:val="005D7F2E"/>
    <w:rsid w:val="005D7F9B"/>
    <w:rsid w:val="005E03E1"/>
    <w:rsid w:val="005E093A"/>
    <w:rsid w:val="005E0AC7"/>
    <w:rsid w:val="005E1287"/>
    <w:rsid w:val="005E146B"/>
    <w:rsid w:val="005E1735"/>
    <w:rsid w:val="005E1746"/>
    <w:rsid w:val="005E1911"/>
    <w:rsid w:val="005E1BE2"/>
    <w:rsid w:val="005E1D2C"/>
    <w:rsid w:val="005E20A8"/>
    <w:rsid w:val="005E226F"/>
    <w:rsid w:val="005E271A"/>
    <w:rsid w:val="005E29F5"/>
    <w:rsid w:val="005E2AF7"/>
    <w:rsid w:val="005E41CB"/>
    <w:rsid w:val="005E429C"/>
    <w:rsid w:val="005E4332"/>
    <w:rsid w:val="005E4F62"/>
    <w:rsid w:val="005E50BD"/>
    <w:rsid w:val="005E50EC"/>
    <w:rsid w:val="005E5336"/>
    <w:rsid w:val="005E55D5"/>
    <w:rsid w:val="005E5840"/>
    <w:rsid w:val="005E5AA4"/>
    <w:rsid w:val="005E5C11"/>
    <w:rsid w:val="005E622D"/>
    <w:rsid w:val="005E6274"/>
    <w:rsid w:val="005E627A"/>
    <w:rsid w:val="005E6765"/>
    <w:rsid w:val="005E6A47"/>
    <w:rsid w:val="005E6D6A"/>
    <w:rsid w:val="005E6F53"/>
    <w:rsid w:val="005E7B50"/>
    <w:rsid w:val="005E7FB3"/>
    <w:rsid w:val="005F03DA"/>
    <w:rsid w:val="005F0627"/>
    <w:rsid w:val="005F0770"/>
    <w:rsid w:val="005F0BFB"/>
    <w:rsid w:val="005F0DE2"/>
    <w:rsid w:val="005F1021"/>
    <w:rsid w:val="005F157E"/>
    <w:rsid w:val="005F20E8"/>
    <w:rsid w:val="005F219D"/>
    <w:rsid w:val="005F2AB3"/>
    <w:rsid w:val="005F2D4F"/>
    <w:rsid w:val="005F2E3A"/>
    <w:rsid w:val="005F3207"/>
    <w:rsid w:val="005F33F8"/>
    <w:rsid w:val="005F35DE"/>
    <w:rsid w:val="005F35E7"/>
    <w:rsid w:val="005F3772"/>
    <w:rsid w:val="005F3BD7"/>
    <w:rsid w:val="005F40F6"/>
    <w:rsid w:val="005F462E"/>
    <w:rsid w:val="005F46EA"/>
    <w:rsid w:val="005F4CC6"/>
    <w:rsid w:val="005F4E4C"/>
    <w:rsid w:val="005F4F68"/>
    <w:rsid w:val="005F54F3"/>
    <w:rsid w:val="005F55CA"/>
    <w:rsid w:val="005F5858"/>
    <w:rsid w:val="005F5CBF"/>
    <w:rsid w:val="005F6551"/>
    <w:rsid w:val="005F6939"/>
    <w:rsid w:val="005F6E18"/>
    <w:rsid w:val="005F705F"/>
    <w:rsid w:val="005F72AF"/>
    <w:rsid w:val="005F76E4"/>
    <w:rsid w:val="005F7CEA"/>
    <w:rsid w:val="006002A7"/>
    <w:rsid w:val="006007CC"/>
    <w:rsid w:val="006008B1"/>
    <w:rsid w:val="00600B9F"/>
    <w:rsid w:val="00600CFA"/>
    <w:rsid w:val="006011D0"/>
    <w:rsid w:val="00601402"/>
    <w:rsid w:val="00601421"/>
    <w:rsid w:val="00601532"/>
    <w:rsid w:val="006015A1"/>
    <w:rsid w:val="006017DC"/>
    <w:rsid w:val="006021EC"/>
    <w:rsid w:val="006022C9"/>
    <w:rsid w:val="006027CC"/>
    <w:rsid w:val="00602852"/>
    <w:rsid w:val="00602C33"/>
    <w:rsid w:val="00602DCB"/>
    <w:rsid w:val="0060362C"/>
    <w:rsid w:val="00603D19"/>
    <w:rsid w:val="006048B5"/>
    <w:rsid w:val="00604ADB"/>
    <w:rsid w:val="006057AB"/>
    <w:rsid w:val="00605A39"/>
    <w:rsid w:val="00605AC7"/>
    <w:rsid w:val="00605C01"/>
    <w:rsid w:val="00606329"/>
    <w:rsid w:val="00607058"/>
    <w:rsid w:val="006075A9"/>
    <w:rsid w:val="00607838"/>
    <w:rsid w:val="00607874"/>
    <w:rsid w:val="00610FCB"/>
    <w:rsid w:val="0061143E"/>
    <w:rsid w:val="0061166F"/>
    <w:rsid w:val="006117EB"/>
    <w:rsid w:val="0061196B"/>
    <w:rsid w:val="00611D45"/>
    <w:rsid w:val="00611DEC"/>
    <w:rsid w:val="0061286B"/>
    <w:rsid w:val="00612973"/>
    <w:rsid w:val="00612AB6"/>
    <w:rsid w:val="00612DDD"/>
    <w:rsid w:val="00612E23"/>
    <w:rsid w:val="0061308C"/>
    <w:rsid w:val="0061322A"/>
    <w:rsid w:val="0061335B"/>
    <w:rsid w:val="00613A92"/>
    <w:rsid w:val="00613ACA"/>
    <w:rsid w:val="00613CA9"/>
    <w:rsid w:val="00614080"/>
    <w:rsid w:val="0061432D"/>
    <w:rsid w:val="006146F0"/>
    <w:rsid w:val="00614FA6"/>
    <w:rsid w:val="0061503D"/>
    <w:rsid w:val="0061510E"/>
    <w:rsid w:val="00615533"/>
    <w:rsid w:val="00615648"/>
    <w:rsid w:val="0061576F"/>
    <w:rsid w:val="00615A37"/>
    <w:rsid w:val="00615DB8"/>
    <w:rsid w:val="00615E55"/>
    <w:rsid w:val="006160E9"/>
    <w:rsid w:val="006160EC"/>
    <w:rsid w:val="0061616E"/>
    <w:rsid w:val="0061632F"/>
    <w:rsid w:val="006166CD"/>
    <w:rsid w:val="0061714C"/>
    <w:rsid w:val="006179D1"/>
    <w:rsid w:val="00617C03"/>
    <w:rsid w:val="00617DF5"/>
    <w:rsid w:val="00620628"/>
    <w:rsid w:val="0062087F"/>
    <w:rsid w:val="006208C6"/>
    <w:rsid w:val="00620DA1"/>
    <w:rsid w:val="00621251"/>
    <w:rsid w:val="00621630"/>
    <w:rsid w:val="006217FD"/>
    <w:rsid w:val="00621ADF"/>
    <w:rsid w:val="006220FA"/>
    <w:rsid w:val="006228B8"/>
    <w:rsid w:val="00622A09"/>
    <w:rsid w:val="00622C02"/>
    <w:rsid w:val="00622D01"/>
    <w:rsid w:val="00622D4A"/>
    <w:rsid w:val="00622FFF"/>
    <w:rsid w:val="00623300"/>
    <w:rsid w:val="0062333F"/>
    <w:rsid w:val="006236AA"/>
    <w:rsid w:val="00623DBF"/>
    <w:rsid w:val="00623FED"/>
    <w:rsid w:val="006243AF"/>
    <w:rsid w:val="00624494"/>
    <w:rsid w:val="006244FE"/>
    <w:rsid w:val="00624720"/>
    <w:rsid w:val="006249B9"/>
    <w:rsid w:val="00624C0C"/>
    <w:rsid w:val="00624E09"/>
    <w:rsid w:val="006250D5"/>
    <w:rsid w:val="00625F1D"/>
    <w:rsid w:val="00625F78"/>
    <w:rsid w:val="00625FB0"/>
    <w:rsid w:val="0062610E"/>
    <w:rsid w:val="006262FB"/>
    <w:rsid w:val="00626421"/>
    <w:rsid w:val="0062663D"/>
    <w:rsid w:val="006269BC"/>
    <w:rsid w:val="00626DDB"/>
    <w:rsid w:val="00626E09"/>
    <w:rsid w:val="00627022"/>
    <w:rsid w:val="006276CA"/>
    <w:rsid w:val="00627C97"/>
    <w:rsid w:val="00627DCE"/>
    <w:rsid w:val="0063056B"/>
    <w:rsid w:val="00630674"/>
    <w:rsid w:val="0063073D"/>
    <w:rsid w:val="00630B1B"/>
    <w:rsid w:val="00630C4F"/>
    <w:rsid w:val="00630C68"/>
    <w:rsid w:val="00631273"/>
    <w:rsid w:val="006313C2"/>
    <w:rsid w:val="00631977"/>
    <w:rsid w:val="00631BAE"/>
    <w:rsid w:val="0063200C"/>
    <w:rsid w:val="006323E5"/>
    <w:rsid w:val="006325C5"/>
    <w:rsid w:val="0063262C"/>
    <w:rsid w:val="006328CE"/>
    <w:rsid w:val="006329C3"/>
    <w:rsid w:val="00632A10"/>
    <w:rsid w:val="00632A49"/>
    <w:rsid w:val="00632B18"/>
    <w:rsid w:val="00633370"/>
    <w:rsid w:val="006334B2"/>
    <w:rsid w:val="00633621"/>
    <w:rsid w:val="00633885"/>
    <w:rsid w:val="00633A33"/>
    <w:rsid w:val="00633E23"/>
    <w:rsid w:val="00633FA8"/>
    <w:rsid w:val="00634605"/>
    <w:rsid w:val="00634711"/>
    <w:rsid w:val="00634798"/>
    <w:rsid w:val="006347F5"/>
    <w:rsid w:val="00634B47"/>
    <w:rsid w:val="00634EC3"/>
    <w:rsid w:val="00635068"/>
    <w:rsid w:val="006350A2"/>
    <w:rsid w:val="0063551C"/>
    <w:rsid w:val="00635741"/>
    <w:rsid w:val="0063630B"/>
    <w:rsid w:val="006363AF"/>
    <w:rsid w:val="0063671E"/>
    <w:rsid w:val="00636931"/>
    <w:rsid w:val="00636BEA"/>
    <w:rsid w:val="00636E2C"/>
    <w:rsid w:val="00636E3C"/>
    <w:rsid w:val="0063712A"/>
    <w:rsid w:val="006374A5"/>
    <w:rsid w:val="00637762"/>
    <w:rsid w:val="00637DDD"/>
    <w:rsid w:val="00637E78"/>
    <w:rsid w:val="006400E6"/>
    <w:rsid w:val="00640124"/>
    <w:rsid w:val="0064045D"/>
    <w:rsid w:val="00640994"/>
    <w:rsid w:val="00640C89"/>
    <w:rsid w:val="00640CA4"/>
    <w:rsid w:val="0064120A"/>
    <w:rsid w:val="0064153C"/>
    <w:rsid w:val="006416FC"/>
    <w:rsid w:val="006417ED"/>
    <w:rsid w:val="00641BF5"/>
    <w:rsid w:val="00642292"/>
    <w:rsid w:val="00642411"/>
    <w:rsid w:val="00642B8E"/>
    <w:rsid w:val="00642BD3"/>
    <w:rsid w:val="00642C37"/>
    <w:rsid w:val="006435F3"/>
    <w:rsid w:val="0064365A"/>
    <w:rsid w:val="00643A30"/>
    <w:rsid w:val="006441EB"/>
    <w:rsid w:val="006442A7"/>
    <w:rsid w:val="0064511B"/>
    <w:rsid w:val="00645719"/>
    <w:rsid w:val="006457D7"/>
    <w:rsid w:val="00645A0D"/>
    <w:rsid w:val="00645A26"/>
    <w:rsid w:val="00645AA2"/>
    <w:rsid w:val="00645BE0"/>
    <w:rsid w:val="00645C7D"/>
    <w:rsid w:val="0064685B"/>
    <w:rsid w:val="0064697E"/>
    <w:rsid w:val="00646CDF"/>
    <w:rsid w:val="0064798F"/>
    <w:rsid w:val="00647AF3"/>
    <w:rsid w:val="00647B16"/>
    <w:rsid w:val="00647E27"/>
    <w:rsid w:val="00647F2E"/>
    <w:rsid w:val="0065019A"/>
    <w:rsid w:val="0065021E"/>
    <w:rsid w:val="006509DE"/>
    <w:rsid w:val="0065125A"/>
    <w:rsid w:val="00651729"/>
    <w:rsid w:val="00651A4C"/>
    <w:rsid w:val="006525F6"/>
    <w:rsid w:val="00652682"/>
    <w:rsid w:val="006531FA"/>
    <w:rsid w:val="006534CB"/>
    <w:rsid w:val="00653576"/>
    <w:rsid w:val="00653623"/>
    <w:rsid w:val="006537AA"/>
    <w:rsid w:val="00653AEB"/>
    <w:rsid w:val="00653BC8"/>
    <w:rsid w:val="00653BDB"/>
    <w:rsid w:val="00653E2C"/>
    <w:rsid w:val="006541C3"/>
    <w:rsid w:val="00654225"/>
    <w:rsid w:val="00654483"/>
    <w:rsid w:val="006546BB"/>
    <w:rsid w:val="00654F4D"/>
    <w:rsid w:val="00655238"/>
    <w:rsid w:val="00655277"/>
    <w:rsid w:val="00655585"/>
    <w:rsid w:val="006556A2"/>
    <w:rsid w:val="00655B95"/>
    <w:rsid w:val="00655EB0"/>
    <w:rsid w:val="00655F63"/>
    <w:rsid w:val="006564CB"/>
    <w:rsid w:val="00656509"/>
    <w:rsid w:val="00656653"/>
    <w:rsid w:val="00657747"/>
    <w:rsid w:val="006577DB"/>
    <w:rsid w:val="00660B5A"/>
    <w:rsid w:val="006611C8"/>
    <w:rsid w:val="00661D34"/>
    <w:rsid w:val="00662462"/>
    <w:rsid w:val="006626CE"/>
    <w:rsid w:val="006628D9"/>
    <w:rsid w:val="0066299D"/>
    <w:rsid w:val="00662C57"/>
    <w:rsid w:val="00662EB6"/>
    <w:rsid w:val="00662EFF"/>
    <w:rsid w:val="00662F29"/>
    <w:rsid w:val="00662F8C"/>
    <w:rsid w:val="0066348D"/>
    <w:rsid w:val="00663572"/>
    <w:rsid w:val="00663695"/>
    <w:rsid w:val="0066381E"/>
    <w:rsid w:val="00663957"/>
    <w:rsid w:val="0066491E"/>
    <w:rsid w:val="00664962"/>
    <w:rsid w:val="00664A83"/>
    <w:rsid w:val="006655D0"/>
    <w:rsid w:val="00665820"/>
    <w:rsid w:val="00665C63"/>
    <w:rsid w:val="0066610C"/>
    <w:rsid w:val="00666796"/>
    <w:rsid w:val="00666932"/>
    <w:rsid w:val="00666BF5"/>
    <w:rsid w:val="00666E40"/>
    <w:rsid w:val="0066727C"/>
    <w:rsid w:val="00667288"/>
    <w:rsid w:val="006675BD"/>
    <w:rsid w:val="006676F9"/>
    <w:rsid w:val="00667B52"/>
    <w:rsid w:val="0067010A"/>
    <w:rsid w:val="006704A3"/>
    <w:rsid w:val="00670502"/>
    <w:rsid w:val="0067056D"/>
    <w:rsid w:val="006709C4"/>
    <w:rsid w:val="00670ABE"/>
    <w:rsid w:val="00670E28"/>
    <w:rsid w:val="00670E89"/>
    <w:rsid w:val="00670EF2"/>
    <w:rsid w:val="00671041"/>
    <w:rsid w:val="0067123D"/>
    <w:rsid w:val="0067145D"/>
    <w:rsid w:val="00671851"/>
    <w:rsid w:val="00671AE6"/>
    <w:rsid w:val="00671FB7"/>
    <w:rsid w:val="00672247"/>
    <w:rsid w:val="006723B9"/>
    <w:rsid w:val="00672528"/>
    <w:rsid w:val="00672581"/>
    <w:rsid w:val="00672D3C"/>
    <w:rsid w:val="00673012"/>
    <w:rsid w:val="00673346"/>
    <w:rsid w:val="00673603"/>
    <w:rsid w:val="0067388E"/>
    <w:rsid w:val="00673D9B"/>
    <w:rsid w:val="0067454F"/>
    <w:rsid w:val="00674841"/>
    <w:rsid w:val="00674887"/>
    <w:rsid w:val="00675ABE"/>
    <w:rsid w:val="00676184"/>
    <w:rsid w:val="006765A1"/>
    <w:rsid w:val="00676775"/>
    <w:rsid w:val="006769A4"/>
    <w:rsid w:val="00676D76"/>
    <w:rsid w:val="0067756C"/>
    <w:rsid w:val="00680390"/>
    <w:rsid w:val="006809AE"/>
    <w:rsid w:val="00680AB0"/>
    <w:rsid w:val="00681706"/>
    <w:rsid w:val="006817C7"/>
    <w:rsid w:val="00681A4C"/>
    <w:rsid w:val="00681C57"/>
    <w:rsid w:val="00681EF6"/>
    <w:rsid w:val="006824C2"/>
    <w:rsid w:val="0068260F"/>
    <w:rsid w:val="00682AB1"/>
    <w:rsid w:val="006835FD"/>
    <w:rsid w:val="0068385A"/>
    <w:rsid w:val="00683901"/>
    <w:rsid w:val="00683ACA"/>
    <w:rsid w:val="00683F93"/>
    <w:rsid w:val="006841F8"/>
    <w:rsid w:val="00684464"/>
    <w:rsid w:val="00684705"/>
    <w:rsid w:val="00684A97"/>
    <w:rsid w:val="00684FA5"/>
    <w:rsid w:val="00684FDE"/>
    <w:rsid w:val="00686B84"/>
    <w:rsid w:val="00686D6F"/>
    <w:rsid w:val="00686D93"/>
    <w:rsid w:val="006870E6"/>
    <w:rsid w:val="0068715F"/>
    <w:rsid w:val="00687604"/>
    <w:rsid w:val="00690D24"/>
    <w:rsid w:val="0069118D"/>
    <w:rsid w:val="00691432"/>
    <w:rsid w:val="00691CAB"/>
    <w:rsid w:val="00691D91"/>
    <w:rsid w:val="00691DB7"/>
    <w:rsid w:val="00692547"/>
    <w:rsid w:val="00692577"/>
    <w:rsid w:val="00692B96"/>
    <w:rsid w:val="00692BE3"/>
    <w:rsid w:val="0069340A"/>
    <w:rsid w:val="00693892"/>
    <w:rsid w:val="00693F57"/>
    <w:rsid w:val="006942B5"/>
    <w:rsid w:val="0069462E"/>
    <w:rsid w:val="006946C5"/>
    <w:rsid w:val="00694C14"/>
    <w:rsid w:val="00694D72"/>
    <w:rsid w:val="0069532D"/>
    <w:rsid w:val="00695358"/>
    <w:rsid w:val="006955B7"/>
    <w:rsid w:val="00695770"/>
    <w:rsid w:val="0069578C"/>
    <w:rsid w:val="006959E7"/>
    <w:rsid w:val="00696074"/>
    <w:rsid w:val="006961A7"/>
    <w:rsid w:val="006963CC"/>
    <w:rsid w:val="006968FF"/>
    <w:rsid w:val="00696F09"/>
    <w:rsid w:val="006970B8"/>
    <w:rsid w:val="00697447"/>
    <w:rsid w:val="006978BC"/>
    <w:rsid w:val="00697D49"/>
    <w:rsid w:val="00697D81"/>
    <w:rsid w:val="00697DB1"/>
    <w:rsid w:val="00697DFD"/>
    <w:rsid w:val="006A010A"/>
    <w:rsid w:val="006A01FB"/>
    <w:rsid w:val="006A05C8"/>
    <w:rsid w:val="006A0689"/>
    <w:rsid w:val="006A07D2"/>
    <w:rsid w:val="006A09B2"/>
    <w:rsid w:val="006A0D5E"/>
    <w:rsid w:val="006A11EB"/>
    <w:rsid w:val="006A13A9"/>
    <w:rsid w:val="006A146E"/>
    <w:rsid w:val="006A15C0"/>
    <w:rsid w:val="006A165C"/>
    <w:rsid w:val="006A1B43"/>
    <w:rsid w:val="006A1CDD"/>
    <w:rsid w:val="006A219D"/>
    <w:rsid w:val="006A2951"/>
    <w:rsid w:val="006A2D69"/>
    <w:rsid w:val="006A2DBE"/>
    <w:rsid w:val="006A3306"/>
    <w:rsid w:val="006A4612"/>
    <w:rsid w:val="006A4785"/>
    <w:rsid w:val="006A490A"/>
    <w:rsid w:val="006A491B"/>
    <w:rsid w:val="006A495B"/>
    <w:rsid w:val="006A4960"/>
    <w:rsid w:val="006A4AB7"/>
    <w:rsid w:val="006A4C37"/>
    <w:rsid w:val="006A4C6F"/>
    <w:rsid w:val="006A4D38"/>
    <w:rsid w:val="006A4E3C"/>
    <w:rsid w:val="006A4FDA"/>
    <w:rsid w:val="006A512F"/>
    <w:rsid w:val="006A5BBE"/>
    <w:rsid w:val="006A5C0B"/>
    <w:rsid w:val="006A663D"/>
    <w:rsid w:val="006A6649"/>
    <w:rsid w:val="006A689A"/>
    <w:rsid w:val="006A71BB"/>
    <w:rsid w:val="006A72E7"/>
    <w:rsid w:val="006A73E7"/>
    <w:rsid w:val="006A73F1"/>
    <w:rsid w:val="006A74A4"/>
    <w:rsid w:val="006A75BE"/>
    <w:rsid w:val="006A78C7"/>
    <w:rsid w:val="006B01B7"/>
    <w:rsid w:val="006B09C8"/>
    <w:rsid w:val="006B0C30"/>
    <w:rsid w:val="006B0E5F"/>
    <w:rsid w:val="006B1055"/>
    <w:rsid w:val="006B13E0"/>
    <w:rsid w:val="006B17BE"/>
    <w:rsid w:val="006B1B52"/>
    <w:rsid w:val="006B1E0C"/>
    <w:rsid w:val="006B1FAB"/>
    <w:rsid w:val="006B1FBC"/>
    <w:rsid w:val="006B24CF"/>
    <w:rsid w:val="006B306D"/>
    <w:rsid w:val="006B33B8"/>
    <w:rsid w:val="006B35D4"/>
    <w:rsid w:val="006B366F"/>
    <w:rsid w:val="006B3769"/>
    <w:rsid w:val="006B38F0"/>
    <w:rsid w:val="006B4033"/>
    <w:rsid w:val="006B40F7"/>
    <w:rsid w:val="006B4158"/>
    <w:rsid w:val="006B4443"/>
    <w:rsid w:val="006B47BF"/>
    <w:rsid w:val="006B4DEE"/>
    <w:rsid w:val="006B4FA4"/>
    <w:rsid w:val="006B5064"/>
    <w:rsid w:val="006B5545"/>
    <w:rsid w:val="006B5883"/>
    <w:rsid w:val="006B59E1"/>
    <w:rsid w:val="006B5DC1"/>
    <w:rsid w:val="006B6089"/>
    <w:rsid w:val="006B6634"/>
    <w:rsid w:val="006B6A61"/>
    <w:rsid w:val="006B6AFE"/>
    <w:rsid w:val="006B7644"/>
    <w:rsid w:val="006B79D6"/>
    <w:rsid w:val="006B7AAD"/>
    <w:rsid w:val="006B7C84"/>
    <w:rsid w:val="006B7EE4"/>
    <w:rsid w:val="006C03BE"/>
    <w:rsid w:val="006C05E8"/>
    <w:rsid w:val="006C0981"/>
    <w:rsid w:val="006C09AB"/>
    <w:rsid w:val="006C0AF7"/>
    <w:rsid w:val="006C0CB6"/>
    <w:rsid w:val="006C0CDE"/>
    <w:rsid w:val="006C1228"/>
    <w:rsid w:val="006C1266"/>
    <w:rsid w:val="006C1469"/>
    <w:rsid w:val="006C14A7"/>
    <w:rsid w:val="006C17FA"/>
    <w:rsid w:val="006C1906"/>
    <w:rsid w:val="006C1918"/>
    <w:rsid w:val="006C1984"/>
    <w:rsid w:val="006C1BC1"/>
    <w:rsid w:val="006C1D59"/>
    <w:rsid w:val="006C1DBC"/>
    <w:rsid w:val="006C1E5C"/>
    <w:rsid w:val="006C2038"/>
    <w:rsid w:val="006C21A2"/>
    <w:rsid w:val="006C2692"/>
    <w:rsid w:val="006C2D14"/>
    <w:rsid w:val="006C2F3C"/>
    <w:rsid w:val="006C3084"/>
    <w:rsid w:val="006C3636"/>
    <w:rsid w:val="006C3790"/>
    <w:rsid w:val="006C3865"/>
    <w:rsid w:val="006C4121"/>
    <w:rsid w:val="006C4377"/>
    <w:rsid w:val="006C43CC"/>
    <w:rsid w:val="006C4D58"/>
    <w:rsid w:val="006C55C7"/>
    <w:rsid w:val="006C59FA"/>
    <w:rsid w:val="006C6FDA"/>
    <w:rsid w:val="006C6FE4"/>
    <w:rsid w:val="006C701B"/>
    <w:rsid w:val="006C716C"/>
    <w:rsid w:val="006C738A"/>
    <w:rsid w:val="006C759A"/>
    <w:rsid w:val="006C75D1"/>
    <w:rsid w:val="006C7777"/>
    <w:rsid w:val="006C789A"/>
    <w:rsid w:val="006C7E28"/>
    <w:rsid w:val="006D0567"/>
    <w:rsid w:val="006D0A77"/>
    <w:rsid w:val="006D0F37"/>
    <w:rsid w:val="006D17CB"/>
    <w:rsid w:val="006D182A"/>
    <w:rsid w:val="006D1DAF"/>
    <w:rsid w:val="006D1E37"/>
    <w:rsid w:val="006D2668"/>
    <w:rsid w:val="006D384C"/>
    <w:rsid w:val="006D39E5"/>
    <w:rsid w:val="006D3ADE"/>
    <w:rsid w:val="006D3B02"/>
    <w:rsid w:val="006D3C14"/>
    <w:rsid w:val="006D4297"/>
    <w:rsid w:val="006D4949"/>
    <w:rsid w:val="006D4B7C"/>
    <w:rsid w:val="006D4E33"/>
    <w:rsid w:val="006D5270"/>
    <w:rsid w:val="006D5342"/>
    <w:rsid w:val="006D5543"/>
    <w:rsid w:val="006D556B"/>
    <w:rsid w:val="006D5692"/>
    <w:rsid w:val="006D56A4"/>
    <w:rsid w:val="006D6515"/>
    <w:rsid w:val="006D66CA"/>
    <w:rsid w:val="006D6B5F"/>
    <w:rsid w:val="006D6D2D"/>
    <w:rsid w:val="006D71EC"/>
    <w:rsid w:val="006D74E7"/>
    <w:rsid w:val="006D7602"/>
    <w:rsid w:val="006D7E85"/>
    <w:rsid w:val="006E00CC"/>
    <w:rsid w:val="006E041F"/>
    <w:rsid w:val="006E04CF"/>
    <w:rsid w:val="006E0C39"/>
    <w:rsid w:val="006E12DF"/>
    <w:rsid w:val="006E1B02"/>
    <w:rsid w:val="006E1B89"/>
    <w:rsid w:val="006E1EA8"/>
    <w:rsid w:val="006E228F"/>
    <w:rsid w:val="006E25FD"/>
    <w:rsid w:val="006E27B0"/>
    <w:rsid w:val="006E27F0"/>
    <w:rsid w:val="006E2A01"/>
    <w:rsid w:val="006E2B93"/>
    <w:rsid w:val="006E2F9A"/>
    <w:rsid w:val="006E3539"/>
    <w:rsid w:val="006E36C0"/>
    <w:rsid w:val="006E3939"/>
    <w:rsid w:val="006E404C"/>
    <w:rsid w:val="006E45BC"/>
    <w:rsid w:val="006E4607"/>
    <w:rsid w:val="006E4702"/>
    <w:rsid w:val="006E49A5"/>
    <w:rsid w:val="006E4D8D"/>
    <w:rsid w:val="006E54C8"/>
    <w:rsid w:val="006E5E0C"/>
    <w:rsid w:val="006E6105"/>
    <w:rsid w:val="006E6E06"/>
    <w:rsid w:val="006E74E9"/>
    <w:rsid w:val="006E7B0E"/>
    <w:rsid w:val="006E7E37"/>
    <w:rsid w:val="006F01E4"/>
    <w:rsid w:val="006F030A"/>
    <w:rsid w:val="006F04EE"/>
    <w:rsid w:val="006F05A4"/>
    <w:rsid w:val="006F087E"/>
    <w:rsid w:val="006F0FA1"/>
    <w:rsid w:val="006F10FB"/>
    <w:rsid w:val="006F11EB"/>
    <w:rsid w:val="006F35A7"/>
    <w:rsid w:val="006F38C9"/>
    <w:rsid w:val="006F3A62"/>
    <w:rsid w:val="006F4086"/>
    <w:rsid w:val="006F430E"/>
    <w:rsid w:val="006F4484"/>
    <w:rsid w:val="006F4603"/>
    <w:rsid w:val="006F4AE2"/>
    <w:rsid w:val="006F4B56"/>
    <w:rsid w:val="006F5008"/>
    <w:rsid w:val="006F5FC3"/>
    <w:rsid w:val="006F645E"/>
    <w:rsid w:val="006F67E6"/>
    <w:rsid w:val="006F6810"/>
    <w:rsid w:val="006F6B56"/>
    <w:rsid w:val="006F6DE2"/>
    <w:rsid w:val="006F720D"/>
    <w:rsid w:val="006F74F4"/>
    <w:rsid w:val="006F7909"/>
    <w:rsid w:val="006F79E5"/>
    <w:rsid w:val="006F7A4B"/>
    <w:rsid w:val="006F7DF5"/>
    <w:rsid w:val="006F7EEF"/>
    <w:rsid w:val="00700013"/>
    <w:rsid w:val="007001F8"/>
    <w:rsid w:val="00700696"/>
    <w:rsid w:val="007007F3"/>
    <w:rsid w:val="00700A1C"/>
    <w:rsid w:val="00700F9C"/>
    <w:rsid w:val="007013FC"/>
    <w:rsid w:val="00701BCE"/>
    <w:rsid w:val="0070222A"/>
    <w:rsid w:val="007022F5"/>
    <w:rsid w:val="007023A0"/>
    <w:rsid w:val="00702499"/>
    <w:rsid w:val="007027A5"/>
    <w:rsid w:val="00702864"/>
    <w:rsid w:val="007029C2"/>
    <w:rsid w:val="00702B22"/>
    <w:rsid w:val="00702BC3"/>
    <w:rsid w:val="0070370F"/>
    <w:rsid w:val="007038A4"/>
    <w:rsid w:val="00704B7C"/>
    <w:rsid w:val="00705636"/>
    <w:rsid w:val="007058CC"/>
    <w:rsid w:val="00705CE2"/>
    <w:rsid w:val="00705FFD"/>
    <w:rsid w:val="0070644A"/>
    <w:rsid w:val="007065B3"/>
    <w:rsid w:val="007066EC"/>
    <w:rsid w:val="007069AC"/>
    <w:rsid w:val="00706DBC"/>
    <w:rsid w:val="00707157"/>
    <w:rsid w:val="007074FC"/>
    <w:rsid w:val="0070754A"/>
    <w:rsid w:val="00707579"/>
    <w:rsid w:val="007075C4"/>
    <w:rsid w:val="00707745"/>
    <w:rsid w:val="007078FA"/>
    <w:rsid w:val="00707A17"/>
    <w:rsid w:val="00707A4A"/>
    <w:rsid w:val="00707E25"/>
    <w:rsid w:val="0071047F"/>
    <w:rsid w:val="007106C5"/>
    <w:rsid w:val="00710712"/>
    <w:rsid w:val="00710791"/>
    <w:rsid w:val="007109A5"/>
    <w:rsid w:val="00710AE4"/>
    <w:rsid w:val="00711116"/>
    <w:rsid w:val="00711471"/>
    <w:rsid w:val="0071180C"/>
    <w:rsid w:val="007118CA"/>
    <w:rsid w:val="00711AA7"/>
    <w:rsid w:val="00711B43"/>
    <w:rsid w:val="00711DAE"/>
    <w:rsid w:val="0071222D"/>
    <w:rsid w:val="00712294"/>
    <w:rsid w:val="00712344"/>
    <w:rsid w:val="00712504"/>
    <w:rsid w:val="0071295B"/>
    <w:rsid w:val="00712A00"/>
    <w:rsid w:val="00712B30"/>
    <w:rsid w:val="00712BD6"/>
    <w:rsid w:val="00712F6A"/>
    <w:rsid w:val="0071309F"/>
    <w:rsid w:val="00713778"/>
    <w:rsid w:val="00713799"/>
    <w:rsid w:val="007138D0"/>
    <w:rsid w:val="00713F2E"/>
    <w:rsid w:val="0071405B"/>
    <w:rsid w:val="007142DE"/>
    <w:rsid w:val="007144A3"/>
    <w:rsid w:val="007144DC"/>
    <w:rsid w:val="0071486F"/>
    <w:rsid w:val="00715779"/>
    <w:rsid w:val="00715BFB"/>
    <w:rsid w:val="00715E4F"/>
    <w:rsid w:val="0071611D"/>
    <w:rsid w:val="00716219"/>
    <w:rsid w:val="0071628F"/>
    <w:rsid w:val="00716385"/>
    <w:rsid w:val="00716560"/>
    <w:rsid w:val="00716849"/>
    <w:rsid w:val="00716893"/>
    <w:rsid w:val="00716C6E"/>
    <w:rsid w:val="00717399"/>
    <w:rsid w:val="00717896"/>
    <w:rsid w:val="00717A60"/>
    <w:rsid w:val="00717BAA"/>
    <w:rsid w:val="00717DAB"/>
    <w:rsid w:val="0072007E"/>
    <w:rsid w:val="007203E8"/>
    <w:rsid w:val="00720405"/>
    <w:rsid w:val="00720A90"/>
    <w:rsid w:val="00720DA5"/>
    <w:rsid w:val="00720DCB"/>
    <w:rsid w:val="00720ECC"/>
    <w:rsid w:val="00720F6F"/>
    <w:rsid w:val="0072132A"/>
    <w:rsid w:val="007213E8"/>
    <w:rsid w:val="00721693"/>
    <w:rsid w:val="00721749"/>
    <w:rsid w:val="00721C57"/>
    <w:rsid w:val="007220FE"/>
    <w:rsid w:val="00722217"/>
    <w:rsid w:val="00722458"/>
    <w:rsid w:val="00722607"/>
    <w:rsid w:val="007228B8"/>
    <w:rsid w:val="00722C01"/>
    <w:rsid w:val="00722E72"/>
    <w:rsid w:val="00722FD1"/>
    <w:rsid w:val="00723296"/>
    <w:rsid w:val="007233B1"/>
    <w:rsid w:val="007234B2"/>
    <w:rsid w:val="00723FB7"/>
    <w:rsid w:val="00724317"/>
    <w:rsid w:val="007244DA"/>
    <w:rsid w:val="0072452B"/>
    <w:rsid w:val="00724638"/>
    <w:rsid w:val="00724BE9"/>
    <w:rsid w:val="007250F0"/>
    <w:rsid w:val="007254BD"/>
    <w:rsid w:val="00725637"/>
    <w:rsid w:val="00725F39"/>
    <w:rsid w:val="0072605B"/>
    <w:rsid w:val="00726100"/>
    <w:rsid w:val="00726143"/>
    <w:rsid w:val="007262C8"/>
    <w:rsid w:val="007264CD"/>
    <w:rsid w:val="00726D5E"/>
    <w:rsid w:val="00726EA5"/>
    <w:rsid w:val="00726F11"/>
    <w:rsid w:val="00726F18"/>
    <w:rsid w:val="00726FDD"/>
    <w:rsid w:val="00727274"/>
    <w:rsid w:val="0072752E"/>
    <w:rsid w:val="007278F6"/>
    <w:rsid w:val="007301BC"/>
    <w:rsid w:val="0073049F"/>
    <w:rsid w:val="0073059F"/>
    <w:rsid w:val="00730731"/>
    <w:rsid w:val="00730785"/>
    <w:rsid w:val="007308DC"/>
    <w:rsid w:val="00730B51"/>
    <w:rsid w:val="00730BF7"/>
    <w:rsid w:val="00731040"/>
    <w:rsid w:val="00731347"/>
    <w:rsid w:val="00731655"/>
    <w:rsid w:val="00731A92"/>
    <w:rsid w:val="00731DE4"/>
    <w:rsid w:val="00731E88"/>
    <w:rsid w:val="00732074"/>
    <w:rsid w:val="00732108"/>
    <w:rsid w:val="007322CA"/>
    <w:rsid w:val="007323B5"/>
    <w:rsid w:val="00732534"/>
    <w:rsid w:val="007325B4"/>
    <w:rsid w:val="00732670"/>
    <w:rsid w:val="00732738"/>
    <w:rsid w:val="00732854"/>
    <w:rsid w:val="00732945"/>
    <w:rsid w:val="00732A1C"/>
    <w:rsid w:val="00732D66"/>
    <w:rsid w:val="00732D95"/>
    <w:rsid w:val="00732E27"/>
    <w:rsid w:val="00732F7E"/>
    <w:rsid w:val="00733759"/>
    <w:rsid w:val="00733A23"/>
    <w:rsid w:val="00733C0A"/>
    <w:rsid w:val="00733E75"/>
    <w:rsid w:val="00733FDA"/>
    <w:rsid w:val="00734147"/>
    <w:rsid w:val="00734CA8"/>
    <w:rsid w:val="00734EB3"/>
    <w:rsid w:val="00735169"/>
    <w:rsid w:val="007358CF"/>
    <w:rsid w:val="00735966"/>
    <w:rsid w:val="00735970"/>
    <w:rsid w:val="00735B26"/>
    <w:rsid w:val="00735C8B"/>
    <w:rsid w:val="00735EB4"/>
    <w:rsid w:val="00736257"/>
    <w:rsid w:val="007362DD"/>
    <w:rsid w:val="00736C7C"/>
    <w:rsid w:val="00736C9C"/>
    <w:rsid w:val="007371CF"/>
    <w:rsid w:val="00737225"/>
    <w:rsid w:val="0073735C"/>
    <w:rsid w:val="0073747F"/>
    <w:rsid w:val="0073797F"/>
    <w:rsid w:val="00737D7B"/>
    <w:rsid w:val="0074001B"/>
    <w:rsid w:val="0074027E"/>
    <w:rsid w:val="00740713"/>
    <w:rsid w:val="00740777"/>
    <w:rsid w:val="0074089A"/>
    <w:rsid w:val="00740924"/>
    <w:rsid w:val="0074124A"/>
    <w:rsid w:val="007414AA"/>
    <w:rsid w:val="00741602"/>
    <w:rsid w:val="00741611"/>
    <w:rsid w:val="0074167E"/>
    <w:rsid w:val="0074169C"/>
    <w:rsid w:val="00741905"/>
    <w:rsid w:val="00741988"/>
    <w:rsid w:val="00741F56"/>
    <w:rsid w:val="0074202F"/>
    <w:rsid w:val="007420DD"/>
    <w:rsid w:val="00742329"/>
    <w:rsid w:val="00742E0F"/>
    <w:rsid w:val="00743343"/>
    <w:rsid w:val="00743E4E"/>
    <w:rsid w:val="0074433D"/>
    <w:rsid w:val="00744530"/>
    <w:rsid w:val="00744703"/>
    <w:rsid w:val="00744780"/>
    <w:rsid w:val="007448EC"/>
    <w:rsid w:val="00744A20"/>
    <w:rsid w:val="007450CD"/>
    <w:rsid w:val="00745141"/>
    <w:rsid w:val="00745516"/>
    <w:rsid w:val="007456E7"/>
    <w:rsid w:val="00745716"/>
    <w:rsid w:val="0074587B"/>
    <w:rsid w:val="007459F0"/>
    <w:rsid w:val="00745A8A"/>
    <w:rsid w:val="00745D20"/>
    <w:rsid w:val="00745E8F"/>
    <w:rsid w:val="007466AF"/>
    <w:rsid w:val="0074681D"/>
    <w:rsid w:val="0074767A"/>
    <w:rsid w:val="007478F9"/>
    <w:rsid w:val="00747A27"/>
    <w:rsid w:val="00747BC1"/>
    <w:rsid w:val="00747D4B"/>
    <w:rsid w:val="00747D5C"/>
    <w:rsid w:val="0075016A"/>
    <w:rsid w:val="00750243"/>
    <w:rsid w:val="00750766"/>
    <w:rsid w:val="00750EF8"/>
    <w:rsid w:val="00750F57"/>
    <w:rsid w:val="00751007"/>
    <w:rsid w:val="0075120D"/>
    <w:rsid w:val="00751975"/>
    <w:rsid w:val="00751C29"/>
    <w:rsid w:val="00752815"/>
    <w:rsid w:val="00752B7F"/>
    <w:rsid w:val="00752FBD"/>
    <w:rsid w:val="00753180"/>
    <w:rsid w:val="00753206"/>
    <w:rsid w:val="00753578"/>
    <w:rsid w:val="007544A4"/>
    <w:rsid w:val="007547CB"/>
    <w:rsid w:val="0075482C"/>
    <w:rsid w:val="00754B45"/>
    <w:rsid w:val="00754D66"/>
    <w:rsid w:val="00754E9C"/>
    <w:rsid w:val="0075503F"/>
    <w:rsid w:val="007550C3"/>
    <w:rsid w:val="0075530C"/>
    <w:rsid w:val="00755417"/>
    <w:rsid w:val="00755BF6"/>
    <w:rsid w:val="00755F20"/>
    <w:rsid w:val="00756EE1"/>
    <w:rsid w:val="007570E5"/>
    <w:rsid w:val="00757448"/>
    <w:rsid w:val="00757560"/>
    <w:rsid w:val="0075758B"/>
    <w:rsid w:val="007577D5"/>
    <w:rsid w:val="00757ADA"/>
    <w:rsid w:val="00760ED2"/>
    <w:rsid w:val="00761079"/>
    <w:rsid w:val="007612EF"/>
    <w:rsid w:val="007612FD"/>
    <w:rsid w:val="007614F2"/>
    <w:rsid w:val="007615A5"/>
    <w:rsid w:val="00761E93"/>
    <w:rsid w:val="00761E9F"/>
    <w:rsid w:val="00761F72"/>
    <w:rsid w:val="0076207D"/>
    <w:rsid w:val="00762121"/>
    <w:rsid w:val="007624AC"/>
    <w:rsid w:val="007624EC"/>
    <w:rsid w:val="00762EAF"/>
    <w:rsid w:val="00762EB8"/>
    <w:rsid w:val="00763181"/>
    <w:rsid w:val="00763ABB"/>
    <w:rsid w:val="00763BB6"/>
    <w:rsid w:val="00763BB9"/>
    <w:rsid w:val="00763C28"/>
    <w:rsid w:val="00763D64"/>
    <w:rsid w:val="00763DE6"/>
    <w:rsid w:val="0076400D"/>
    <w:rsid w:val="00764461"/>
    <w:rsid w:val="0076450F"/>
    <w:rsid w:val="0076461E"/>
    <w:rsid w:val="00764633"/>
    <w:rsid w:val="00764ACD"/>
    <w:rsid w:val="007650B0"/>
    <w:rsid w:val="00765174"/>
    <w:rsid w:val="0076541A"/>
    <w:rsid w:val="00765B92"/>
    <w:rsid w:val="00765CA8"/>
    <w:rsid w:val="00765D60"/>
    <w:rsid w:val="007661E8"/>
    <w:rsid w:val="00766250"/>
    <w:rsid w:val="00766630"/>
    <w:rsid w:val="00766826"/>
    <w:rsid w:val="00766927"/>
    <w:rsid w:val="00766DD1"/>
    <w:rsid w:val="00766EA0"/>
    <w:rsid w:val="0076749C"/>
    <w:rsid w:val="00767F0F"/>
    <w:rsid w:val="007708E6"/>
    <w:rsid w:val="00770D86"/>
    <w:rsid w:val="0077146B"/>
    <w:rsid w:val="007728BB"/>
    <w:rsid w:val="00772A64"/>
    <w:rsid w:val="007730B2"/>
    <w:rsid w:val="00773702"/>
    <w:rsid w:val="00773A0A"/>
    <w:rsid w:val="00773D0D"/>
    <w:rsid w:val="00773ED1"/>
    <w:rsid w:val="00773F83"/>
    <w:rsid w:val="007740ED"/>
    <w:rsid w:val="0077441C"/>
    <w:rsid w:val="007747F2"/>
    <w:rsid w:val="00774940"/>
    <w:rsid w:val="00775021"/>
    <w:rsid w:val="007759D9"/>
    <w:rsid w:val="00775D8B"/>
    <w:rsid w:val="00775DE3"/>
    <w:rsid w:val="0077636A"/>
    <w:rsid w:val="007765CF"/>
    <w:rsid w:val="00776E57"/>
    <w:rsid w:val="00776FD5"/>
    <w:rsid w:val="00777774"/>
    <w:rsid w:val="00777924"/>
    <w:rsid w:val="00777A88"/>
    <w:rsid w:val="00777C45"/>
    <w:rsid w:val="00777FD0"/>
    <w:rsid w:val="007803C2"/>
    <w:rsid w:val="00780736"/>
    <w:rsid w:val="00780C7C"/>
    <w:rsid w:val="00781054"/>
    <w:rsid w:val="0078125B"/>
    <w:rsid w:val="0078163C"/>
    <w:rsid w:val="007818D8"/>
    <w:rsid w:val="00781B31"/>
    <w:rsid w:val="00781B3C"/>
    <w:rsid w:val="00781D76"/>
    <w:rsid w:val="00781F6E"/>
    <w:rsid w:val="007823D2"/>
    <w:rsid w:val="00782681"/>
    <w:rsid w:val="00783044"/>
    <w:rsid w:val="0078305A"/>
    <w:rsid w:val="007835B9"/>
    <w:rsid w:val="00783B95"/>
    <w:rsid w:val="0078426A"/>
    <w:rsid w:val="0078469B"/>
    <w:rsid w:val="007848BB"/>
    <w:rsid w:val="00784AAD"/>
    <w:rsid w:val="00784AD8"/>
    <w:rsid w:val="00785032"/>
    <w:rsid w:val="007851D3"/>
    <w:rsid w:val="00785498"/>
    <w:rsid w:val="00785509"/>
    <w:rsid w:val="00785945"/>
    <w:rsid w:val="0078597A"/>
    <w:rsid w:val="007859D9"/>
    <w:rsid w:val="00785A6B"/>
    <w:rsid w:val="00785B3E"/>
    <w:rsid w:val="00785C60"/>
    <w:rsid w:val="00785D01"/>
    <w:rsid w:val="0078632B"/>
    <w:rsid w:val="007866B6"/>
    <w:rsid w:val="007866D3"/>
    <w:rsid w:val="00786843"/>
    <w:rsid w:val="00786F6F"/>
    <w:rsid w:val="0078736A"/>
    <w:rsid w:val="007873E5"/>
    <w:rsid w:val="007877FE"/>
    <w:rsid w:val="00787E06"/>
    <w:rsid w:val="007901A7"/>
    <w:rsid w:val="0079022C"/>
    <w:rsid w:val="00790251"/>
    <w:rsid w:val="00790C37"/>
    <w:rsid w:val="00791190"/>
    <w:rsid w:val="00791246"/>
    <w:rsid w:val="00791303"/>
    <w:rsid w:val="0079132A"/>
    <w:rsid w:val="00791767"/>
    <w:rsid w:val="007918CE"/>
    <w:rsid w:val="00791EDA"/>
    <w:rsid w:val="00791F1C"/>
    <w:rsid w:val="007926E7"/>
    <w:rsid w:val="0079281E"/>
    <w:rsid w:val="00792B85"/>
    <w:rsid w:val="00792E92"/>
    <w:rsid w:val="00792F29"/>
    <w:rsid w:val="00792F7F"/>
    <w:rsid w:val="0079333E"/>
    <w:rsid w:val="007933C0"/>
    <w:rsid w:val="007936DD"/>
    <w:rsid w:val="00793728"/>
    <w:rsid w:val="00793A67"/>
    <w:rsid w:val="00793B7B"/>
    <w:rsid w:val="00794151"/>
    <w:rsid w:val="0079415E"/>
    <w:rsid w:val="0079425A"/>
    <w:rsid w:val="0079448E"/>
    <w:rsid w:val="0079492F"/>
    <w:rsid w:val="00794BA7"/>
    <w:rsid w:val="00794BC9"/>
    <w:rsid w:val="0079510E"/>
    <w:rsid w:val="0079560A"/>
    <w:rsid w:val="0079571F"/>
    <w:rsid w:val="00795AD0"/>
    <w:rsid w:val="00795DAD"/>
    <w:rsid w:val="00795E3A"/>
    <w:rsid w:val="0079686A"/>
    <w:rsid w:val="007968AB"/>
    <w:rsid w:val="00796AF6"/>
    <w:rsid w:val="00797073"/>
    <w:rsid w:val="0079717A"/>
    <w:rsid w:val="00797949"/>
    <w:rsid w:val="007979DB"/>
    <w:rsid w:val="007A0254"/>
    <w:rsid w:val="007A0842"/>
    <w:rsid w:val="007A0C86"/>
    <w:rsid w:val="007A161F"/>
    <w:rsid w:val="007A1780"/>
    <w:rsid w:val="007A1902"/>
    <w:rsid w:val="007A19C5"/>
    <w:rsid w:val="007A1DD2"/>
    <w:rsid w:val="007A1F91"/>
    <w:rsid w:val="007A29A8"/>
    <w:rsid w:val="007A32C1"/>
    <w:rsid w:val="007A3810"/>
    <w:rsid w:val="007A4818"/>
    <w:rsid w:val="007A4DF4"/>
    <w:rsid w:val="007A56D4"/>
    <w:rsid w:val="007A583C"/>
    <w:rsid w:val="007A5BAA"/>
    <w:rsid w:val="007A5CEF"/>
    <w:rsid w:val="007A615B"/>
    <w:rsid w:val="007A78FA"/>
    <w:rsid w:val="007A7D3A"/>
    <w:rsid w:val="007B0306"/>
    <w:rsid w:val="007B0455"/>
    <w:rsid w:val="007B0AD4"/>
    <w:rsid w:val="007B0F24"/>
    <w:rsid w:val="007B13C2"/>
    <w:rsid w:val="007B145C"/>
    <w:rsid w:val="007B16FA"/>
    <w:rsid w:val="007B173C"/>
    <w:rsid w:val="007B18FE"/>
    <w:rsid w:val="007B1973"/>
    <w:rsid w:val="007B1EA6"/>
    <w:rsid w:val="007B2233"/>
    <w:rsid w:val="007B2671"/>
    <w:rsid w:val="007B27ED"/>
    <w:rsid w:val="007B2D72"/>
    <w:rsid w:val="007B2DAE"/>
    <w:rsid w:val="007B2F83"/>
    <w:rsid w:val="007B31DF"/>
    <w:rsid w:val="007B3209"/>
    <w:rsid w:val="007B3491"/>
    <w:rsid w:val="007B349C"/>
    <w:rsid w:val="007B354E"/>
    <w:rsid w:val="007B35BE"/>
    <w:rsid w:val="007B3D81"/>
    <w:rsid w:val="007B4592"/>
    <w:rsid w:val="007B5123"/>
    <w:rsid w:val="007B537D"/>
    <w:rsid w:val="007B5991"/>
    <w:rsid w:val="007B5DAB"/>
    <w:rsid w:val="007B5E39"/>
    <w:rsid w:val="007B5E8E"/>
    <w:rsid w:val="007B5F68"/>
    <w:rsid w:val="007B6163"/>
    <w:rsid w:val="007B6256"/>
    <w:rsid w:val="007B65BA"/>
    <w:rsid w:val="007B6AEB"/>
    <w:rsid w:val="007B7698"/>
    <w:rsid w:val="007B78D7"/>
    <w:rsid w:val="007B7E07"/>
    <w:rsid w:val="007C0171"/>
    <w:rsid w:val="007C03BF"/>
    <w:rsid w:val="007C064E"/>
    <w:rsid w:val="007C1183"/>
    <w:rsid w:val="007C1218"/>
    <w:rsid w:val="007C193D"/>
    <w:rsid w:val="007C1AEE"/>
    <w:rsid w:val="007C1C8B"/>
    <w:rsid w:val="007C2061"/>
    <w:rsid w:val="007C20B1"/>
    <w:rsid w:val="007C20BC"/>
    <w:rsid w:val="007C215F"/>
    <w:rsid w:val="007C21A1"/>
    <w:rsid w:val="007C278D"/>
    <w:rsid w:val="007C32EC"/>
    <w:rsid w:val="007C43B4"/>
    <w:rsid w:val="007C4773"/>
    <w:rsid w:val="007C53AD"/>
    <w:rsid w:val="007C5907"/>
    <w:rsid w:val="007C5C58"/>
    <w:rsid w:val="007C622E"/>
    <w:rsid w:val="007C673E"/>
    <w:rsid w:val="007C67ED"/>
    <w:rsid w:val="007C6876"/>
    <w:rsid w:val="007C6A97"/>
    <w:rsid w:val="007C6B5F"/>
    <w:rsid w:val="007C6C20"/>
    <w:rsid w:val="007C6C32"/>
    <w:rsid w:val="007C6D2F"/>
    <w:rsid w:val="007C6DA4"/>
    <w:rsid w:val="007C703B"/>
    <w:rsid w:val="007C75C5"/>
    <w:rsid w:val="007C7881"/>
    <w:rsid w:val="007C7E99"/>
    <w:rsid w:val="007D05F9"/>
    <w:rsid w:val="007D06C9"/>
    <w:rsid w:val="007D0759"/>
    <w:rsid w:val="007D098E"/>
    <w:rsid w:val="007D0CA2"/>
    <w:rsid w:val="007D0F6B"/>
    <w:rsid w:val="007D10AE"/>
    <w:rsid w:val="007D10CE"/>
    <w:rsid w:val="007D12BF"/>
    <w:rsid w:val="007D1329"/>
    <w:rsid w:val="007D16F6"/>
    <w:rsid w:val="007D1817"/>
    <w:rsid w:val="007D1A5C"/>
    <w:rsid w:val="007D1DB0"/>
    <w:rsid w:val="007D1F50"/>
    <w:rsid w:val="007D1F9F"/>
    <w:rsid w:val="007D25AE"/>
    <w:rsid w:val="007D26B6"/>
    <w:rsid w:val="007D2C2C"/>
    <w:rsid w:val="007D2C75"/>
    <w:rsid w:val="007D2D2A"/>
    <w:rsid w:val="007D2D6F"/>
    <w:rsid w:val="007D3171"/>
    <w:rsid w:val="007D343F"/>
    <w:rsid w:val="007D3870"/>
    <w:rsid w:val="007D3A15"/>
    <w:rsid w:val="007D3C50"/>
    <w:rsid w:val="007D3F99"/>
    <w:rsid w:val="007D4145"/>
    <w:rsid w:val="007D459A"/>
    <w:rsid w:val="007D4958"/>
    <w:rsid w:val="007D4EC0"/>
    <w:rsid w:val="007D545E"/>
    <w:rsid w:val="007D5622"/>
    <w:rsid w:val="007D598C"/>
    <w:rsid w:val="007D5A11"/>
    <w:rsid w:val="007D5BE0"/>
    <w:rsid w:val="007D5E1D"/>
    <w:rsid w:val="007D6029"/>
    <w:rsid w:val="007D748C"/>
    <w:rsid w:val="007D7812"/>
    <w:rsid w:val="007D7983"/>
    <w:rsid w:val="007D7C6E"/>
    <w:rsid w:val="007E0532"/>
    <w:rsid w:val="007E0A9E"/>
    <w:rsid w:val="007E0B4A"/>
    <w:rsid w:val="007E1360"/>
    <w:rsid w:val="007E1445"/>
    <w:rsid w:val="007E1725"/>
    <w:rsid w:val="007E1761"/>
    <w:rsid w:val="007E17CD"/>
    <w:rsid w:val="007E1845"/>
    <w:rsid w:val="007E1B19"/>
    <w:rsid w:val="007E1CCF"/>
    <w:rsid w:val="007E1D69"/>
    <w:rsid w:val="007E2BAA"/>
    <w:rsid w:val="007E343A"/>
    <w:rsid w:val="007E3E33"/>
    <w:rsid w:val="007E4203"/>
    <w:rsid w:val="007E4632"/>
    <w:rsid w:val="007E4952"/>
    <w:rsid w:val="007E572E"/>
    <w:rsid w:val="007E6177"/>
    <w:rsid w:val="007E679B"/>
    <w:rsid w:val="007E68FF"/>
    <w:rsid w:val="007E6986"/>
    <w:rsid w:val="007E6B59"/>
    <w:rsid w:val="007E6DD7"/>
    <w:rsid w:val="007E6E16"/>
    <w:rsid w:val="007E6ECA"/>
    <w:rsid w:val="007E72D7"/>
    <w:rsid w:val="007F020A"/>
    <w:rsid w:val="007F039A"/>
    <w:rsid w:val="007F10A2"/>
    <w:rsid w:val="007F134B"/>
    <w:rsid w:val="007F165A"/>
    <w:rsid w:val="007F1817"/>
    <w:rsid w:val="007F1A33"/>
    <w:rsid w:val="007F1DE4"/>
    <w:rsid w:val="007F1EA7"/>
    <w:rsid w:val="007F1F28"/>
    <w:rsid w:val="007F202B"/>
    <w:rsid w:val="007F24F0"/>
    <w:rsid w:val="007F256B"/>
    <w:rsid w:val="007F25E9"/>
    <w:rsid w:val="007F2CE6"/>
    <w:rsid w:val="007F2D77"/>
    <w:rsid w:val="007F3140"/>
    <w:rsid w:val="007F3679"/>
    <w:rsid w:val="007F3A3D"/>
    <w:rsid w:val="007F3A81"/>
    <w:rsid w:val="007F3AB9"/>
    <w:rsid w:val="007F413A"/>
    <w:rsid w:val="007F42E5"/>
    <w:rsid w:val="007F44B8"/>
    <w:rsid w:val="007F4559"/>
    <w:rsid w:val="007F45F5"/>
    <w:rsid w:val="007F48F9"/>
    <w:rsid w:val="007F49A1"/>
    <w:rsid w:val="007F533A"/>
    <w:rsid w:val="007F5784"/>
    <w:rsid w:val="007F5A79"/>
    <w:rsid w:val="007F5D67"/>
    <w:rsid w:val="007F5F85"/>
    <w:rsid w:val="007F636C"/>
    <w:rsid w:val="007F67FA"/>
    <w:rsid w:val="007F6F7A"/>
    <w:rsid w:val="007F70A5"/>
    <w:rsid w:val="007F7149"/>
    <w:rsid w:val="007F765D"/>
    <w:rsid w:val="007F780F"/>
    <w:rsid w:val="007F7816"/>
    <w:rsid w:val="00800299"/>
    <w:rsid w:val="008002DD"/>
    <w:rsid w:val="00800485"/>
    <w:rsid w:val="0080052B"/>
    <w:rsid w:val="00800A15"/>
    <w:rsid w:val="00800C9D"/>
    <w:rsid w:val="008012BB"/>
    <w:rsid w:val="008019DA"/>
    <w:rsid w:val="00801F10"/>
    <w:rsid w:val="00802CBD"/>
    <w:rsid w:val="00802D61"/>
    <w:rsid w:val="00802F06"/>
    <w:rsid w:val="00802F39"/>
    <w:rsid w:val="0080415D"/>
    <w:rsid w:val="008042F1"/>
    <w:rsid w:val="00804599"/>
    <w:rsid w:val="0080460B"/>
    <w:rsid w:val="00804648"/>
    <w:rsid w:val="00804BD9"/>
    <w:rsid w:val="00804ED6"/>
    <w:rsid w:val="00805838"/>
    <w:rsid w:val="00805888"/>
    <w:rsid w:val="0080669B"/>
    <w:rsid w:val="008067DE"/>
    <w:rsid w:val="00806884"/>
    <w:rsid w:val="00806A55"/>
    <w:rsid w:val="00806D55"/>
    <w:rsid w:val="008073DC"/>
    <w:rsid w:val="008075F0"/>
    <w:rsid w:val="00807B76"/>
    <w:rsid w:val="00807C71"/>
    <w:rsid w:val="00807FB3"/>
    <w:rsid w:val="0081027B"/>
    <w:rsid w:val="008107B5"/>
    <w:rsid w:val="00810FBC"/>
    <w:rsid w:val="00811547"/>
    <w:rsid w:val="00811BE0"/>
    <w:rsid w:val="0081205E"/>
    <w:rsid w:val="0081226D"/>
    <w:rsid w:val="008125FA"/>
    <w:rsid w:val="00812BAD"/>
    <w:rsid w:val="00812C19"/>
    <w:rsid w:val="00812C40"/>
    <w:rsid w:val="00812EF4"/>
    <w:rsid w:val="00812FE4"/>
    <w:rsid w:val="008138DE"/>
    <w:rsid w:val="0081399B"/>
    <w:rsid w:val="00814237"/>
    <w:rsid w:val="008144C0"/>
    <w:rsid w:val="008145E7"/>
    <w:rsid w:val="00814682"/>
    <w:rsid w:val="00814727"/>
    <w:rsid w:val="008154F2"/>
    <w:rsid w:val="00815566"/>
    <w:rsid w:val="0081568B"/>
    <w:rsid w:val="00815844"/>
    <w:rsid w:val="008166D3"/>
    <w:rsid w:val="00816768"/>
    <w:rsid w:val="00816A27"/>
    <w:rsid w:val="00816B8B"/>
    <w:rsid w:val="00817263"/>
    <w:rsid w:val="008174BB"/>
    <w:rsid w:val="008179DD"/>
    <w:rsid w:val="00817C86"/>
    <w:rsid w:val="00817D2D"/>
    <w:rsid w:val="00817EE1"/>
    <w:rsid w:val="00820670"/>
    <w:rsid w:val="008209BA"/>
    <w:rsid w:val="00820ED0"/>
    <w:rsid w:val="008211D4"/>
    <w:rsid w:val="00821885"/>
    <w:rsid w:val="00821C5E"/>
    <w:rsid w:val="00821CB1"/>
    <w:rsid w:val="0082243D"/>
    <w:rsid w:val="00822459"/>
    <w:rsid w:val="00822B37"/>
    <w:rsid w:val="00823044"/>
    <w:rsid w:val="008231D7"/>
    <w:rsid w:val="00823318"/>
    <w:rsid w:val="00823658"/>
    <w:rsid w:val="00823AF5"/>
    <w:rsid w:val="008241E2"/>
    <w:rsid w:val="00824716"/>
    <w:rsid w:val="0082483F"/>
    <w:rsid w:val="008248FC"/>
    <w:rsid w:val="008249BB"/>
    <w:rsid w:val="00825180"/>
    <w:rsid w:val="00825376"/>
    <w:rsid w:val="00825622"/>
    <w:rsid w:val="00825A05"/>
    <w:rsid w:val="00825A7E"/>
    <w:rsid w:val="008260A9"/>
    <w:rsid w:val="00826122"/>
    <w:rsid w:val="008262BE"/>
    <w:rsid w:val="008262F5"/>
    <w:rsid w:val="00826344"/>
    <w:rsid w:val="00826550"/>
    <w:rsid w:val="00826635"/>
    <w:rsid w:val="008266C4"/>
    <w:rsid w:val="00826FDA"/>
    <w:rsid w:val="0082790A"/>
    <w:rsid w:val="00827B4E"/>
    <w:rsid w:val="00827B73"/>
    <w:rsid w:val="00827BD4"/>
    <w:rsid w:val="00830331"/>
    <w:rsid w:val="008308DE"/>
    <w:rsid w:val="00831630"/>
    <w:rsid w:val="0083172A"/>
    <w:rsid w:val="00831B60"/>
    <w:rsid w:val="00831CA4"/>
    <w:rsid w:val="0083221F"/>
    <w:rsid w:val="00832226"/>
    <w:rsid w:val="00832244"/>
    <w:rsid w:val="00832758"/>
    <w:rsid w:val="008329D3"/>
    <w:rsid w:val="00832A01"/>
    <w:rsid w:val="00832B0A"/>
    <w:rsid w:val="00833796"/>
    <w:rsid w:val="008338C2"/>
    <w:rsid w:val="00833984"/>
    <w:rsid w:val="00833B72"/>
    <w:rsid w:val="00833BA6"/>
    <w:rsid w:val="00833E02"/>
    <w:rsid w:val="00834181"/>
    <w:rsid w:val="008344E6"/>
    <w:rsid w:val="0083460F"/>
    <w:rsid w:val="00835819"/>
    <w:rsid w:val="00835B95"/>
    <w:rsid w:val="00835CC4"/>
    <w:rsid w:val="00836023"/>
    <w:rsid w:val="00836209"/>
    <w:rsid w:val="008363CB"/>
    <w:rsid w:val="0083670C"/>
    <w:rsid w:val="00836BBD"/>
    <w:rsid w:val="00836FCD"/>
    <w:rsid w:val="00837427"/>
    <w:rsid w:val="00837AF8"/>
    <w:rsid w:val="0084011B"/>
    <w:rsid w:val="00840213"/>
    <w:rsid w:val="00840352"/>
    <w:rsid w:val="00840436"/>
    <w:rsid w:val="0084057E"/>
    <w:rsid w:val="008408D3"/>
    <w:rsid w:val="008409E9"/>
    <w:rsid w:val="00840EB5"/>
    <w:rsid w:val="00840F6E"/>
    <w:rsid w:val="00841B3C"/>
    <w:rsid w:val="00841E65"/>
    <w:rsid w:val="0084203E"/>
    <w:rsid w:val="008421C7"/>
    <w:rsid w:val="0084250C"/>
    <w:rsid w:val="008426F0"/>
    <w:rsid w:val="0084278B"/>
    <w:rsid w:val="00842843"/>
    <w:rsid w:val="008428CC"/>
    <w:rsid w:val="00842B9B"/>
    <w:rsid w:val="00842C35"/>
    <w:rsid w:val="00842C97"/>
    <w:rsid w:val="00842ED9"/>
    <w:rsid w:val="00842F36"/>
    <w:rsid w:val="00843371"/>
    <w:rsid w:val="0084359D"/>
    <w:rsid w:val="00843691"/>
    <w:rsid w:val="008438D4"/>
    <w:rsid w:val="00843C9B"/>
    <w:rsid w:val="00843D51"/>
    <w:rsid w:val="00843DBE"/>
    <w:rsid w:val="00843E46"/>
    <w:rsid w:val="00843EAC"/>
    <w:rsid w:val="00844017"/>
    <w:rsid w:val="00844841"/>
    <w:rsid w:val="00844D62"/>
    <w:rsid w:val="00844DDA"/>
    <w:rsid w:val="00844FC3"/>
    <w:rsid w:val="00845006"/>
    <w:rsid w:val="008451E0"/>
    <w:rsid w:val="008454CA"/>
    <w:rsid w:val="008459CF"/>
    <w:rsid w:val="00845A9A"/>
    <w:rsid w:val="00845DD9"/>
    <w:rsid w:val="00845ED8"/>
    <w:rsid w:val="0084686D"/>
    <w:rsid w:val="00846BEF"/>
    <w:rsid w:val="00846DEA"/>
    <w:rsid w:val="00846F30"/>
    <w:rsid w:val="008475F9"/>
    <w:rsid w:val="00847963"/>
    <w:rsid w:val="00850008"/>
    <w:rsid w:val="008507BB"/>
    <w:rsid w:val="0085091E"/>
    <w:rsid w:val="0085098C"/>
    <w:rsid w:val="00850A12"/>
    <w:rsid w:val="00850CCF"/>
    <w:rsid w:val="00850F5D"/>
    <w:rsid w:val="00850F81"/>
    <w:rsid w:val="0085126D"/>
    <w:rsid w:val="00851329"/>
    <w:rsid w:val="008513DD"/>
    <w:rsid w:val="00851B04"/>
    <w:rsid w:val="00851BEA"/>
    <w:rsid w:val="00851EA5"/>
    <w:rsid w:val="008520F6"/>
    <w:rsid w:val="00852D73"/>
    <w:rsid w:val="00853076"/>
    <w:rsid w:val="0085311C"/>
    <w:rsid w:val="008531D7"/>
    <w:rsid w:val="00853B6F"/>
    <w:rsid w:val="008542FC"/>
    <w:rsid w:val="00854A28"/>
    <w:rsid w:val="00854EE4"/>
    <w:rsid w:val="008550B0"/>
    <w:rsid w:val="00855560"/>
    <w:rsid w:val="0085562A"/>
    <w:rsid w:val="00855689"/>
    <w:rsid w:val="008558F0"/>
    <w:rsid w:val="00855C30"/>
    <w:rsid w:val="00855C41"/>
    <w:rsid w:val="00855D6E"/>
    <w:rsid w:val="00855E71"/>
    <w:rsid w:val="00855EEE"/>
    <w:rsid w:val="0085621E"/>
    <w:rsid w:val="008562BC"/>
    <w:rsid w:val="0085641F"/>
    <w:rsid w:val="008567BF"/>
    <w:rsid w:val="0085687B"/>
    <w:rsid w:val="008569D5"/>
    <w:rsid w:val="008569DC"/>
    <w:rsid w:val="00856A74"/>
    <w:rsid w:val="008571AA"/>
    <w:rsid w:val="0085728F"/>
    <w:rsid w:val="0085737C"/>
    <w:rsid w:val="008576FF"/>
    <w:rsid w:val="00857B31"/>
    <w:rsid w:val="00857C84"/>
    <w:rsid w:val="00857D64"/>
    <w:rsid w:val="00857E12"/>
    <w:rsid w:val="00857F36"/>
    <w:rsid w:val="0086035E"/>
    <w:rsid w:val="0086091A"/>
    <w:rsid w:val="00860B3D"/>
    <w:rsid w:val="00860BF5"/>
    <w:rsid w:val="008616AE"/>
    <w:rsid w:val="00862732"/>
    <w:rsid w:val="008628FF"/>
    <w:rsid w:val="008631A8"/>
    <w:rsid w:val="00864511"/>
    <w:rsid w:val="00864535"/>
    <w:rsid w:val="00864593"/>
    <w:rsid w:val="00864710"/>
    <w:rsid w:val="00864A9A"/>
    <w:rsid w:val="00864CD1"/>
    <w:rsid w:val="00864E47"/>
    <w:rsid w:val="0086527D"/>
    <w:rsid w:val="0086561A"/>
    <w:rsid w:val="008657EC"/>
    <w:rsid w:val="0086590F"/>
    <w:rsid w:val="00865A12"/>
    <w:rsid w:val="008662C6"/>
    <w:rsid w:val="008663EB"/>
    <w:rsid w:val="00866DDD"/>
    <w:rsid w:val="00866E7F"/>
    <w:rsid w:val="00866F11"/>
    <w:rsid w:val="008672B3"/>
    <w:rsid w:val="00867826"/>
    <w:rsid w:val="008678E0"/>
    <w:rsid w:val="0086797A"/>
    <w:rsid w:val="00867DF5"/>
    <w:rsid w:val="0087003E"/>
    <w:rsid w:val="0087038E"/>
    <w:rsid w:val="00870854"/>
    <w:rsid w:val="00870A25"/>
    <w:rsid w:val="00870C38"/>
    <w:rsid w:val="00871329"/>
    <w:rsid w:val="008715A3"/>
    <w:rsid w:val="008715C9"/>
    <w:rsid w:val="00872239"/>
    <w:rsid w:val="00872353"/>
    <w:rsid w:val="00872F64"/>
    <w:rsid w:val="0087338A"/>
    <w:rsid w:val="008734EE"/>
    <w:rsid w:val="00873881"/>
    <w:rsid w:val="008738B7"/>
    <w:rsid w:val="00873A1F"/>
    <w:rsid w:val="00873BA0"/>
    <w:rsid w:val="00874072"/>
    <w:rsid w:val="00874C2B"/>
    <w:rsid w:val="00874E0D"/>
    <w:rsid w:val="00874F44"/>
    <w:rsid w:val="008759C2"/>
    <w:rsid w:val="00875C19"/>
    <w:rsid w:val="00875C61"/>
    <w:rsid w:val="00875FFB"/>
    <w:rsid w:val="008760C5"/>
    <w:rsid w:val="008765DB"/>
    <w:rsid w:val="00876FF7"/>
    <w:rsid w:val="008772CC"/>
    <w:rsid w:val="00877DC4"/>
    <w:rsid w:val="008801EF"/>
    <w:rsid w:val="0088048C"/>
    <w:rsid w:val="00880CAE"/>
    <w:rsid w:val="00881534"/>
    <w:rsid w:val="008817B4"/>
    <w:rsid w:val="00881FE7"/>
    <w:rsid w:val="008822DA"/>
    <w:rsid w:val="008823A8"/>
    <w:rsid w:val="00882C73"/>
    <w:rsid w:val="00882C78"/>
    <w:rsid w:val="00882FD0"/>
    <w:rsid w:val="00883124"/>
    <w:rsid w:val="00883539"/>
    <w:rsid w:val="0088368F"/>
    <w:rsid w:val="008837D6"/>
    <w:rsid w:val="00883CF4"/>
    <w:rsid w:val="0088451F"/>
    <w:rsid w:val="00884898"/>
    <w:rsid w:val="00884BF6"/>
    <w:rsid w:val="00884F11"/>
    <w:rsid w:val="00884F62"/>
    <w:rsid w:val="00885098"/>
    <w:rsid w:val="0088529C"/>
    <w:rsid w:val="008855AD"/>
    <w:rsid w:val="008856EA"/>
    <w:rsid w:val="00885C61"/>
    <w:rsid w:val="0088658D"/>
    <w:rsid w:val="00886981"/>
    <w:rsid w:val="00886B6C"/>
    <w:rsid w:val="00886BBA"/>
    <w:rsid w:val="00886F87"/>
    <w:rsid w:val="008871E5"/>
    <w:rsid w:val="0088732A"/>
    <w:rsid w:val="008875DE"/>
    <w:rsid w:val="00887626"/>
    <w:rsid w:val="00887725"/>
    <w:rsid w:val="00887CEA"/>
    <w:rsid w:val="0089011D"/>
    <w:rsid w:val="0089021A"/>
    <w:rsid w:val="0089042E"/>
    <w:rsid w:val="00890C4E"/>
    <w:rsid w:val="00890F2B"/>
    <w:rsid w:val="008917B0"/>
    <w:rsid w:val="00891996"/>
    <w:rsid w:val="00891DE4"/>
    <w:rsid w:val="0089268D"/>
    <w:rsid w:val="00892CC9"/>
    <w:rsid w:val="00892DC5"/>
    <w:rsid w:val="0089302F"/>
    <w:rsid w:val="0089309B"/>
    <w:rsid w:val="00893A24"/>
    <w:rsid w:val="00893AE2"/>
    <w:rsid w:val="00893D50"/>
    <w:rsid w:val="00894561"/>
    <w:rsid w:val="008949A0"/>
    <w:rsid w:val="00894BE6"/>
    <w:rsid w:val="00894E9B"/>
    <w:rsid w:val="0089511B"/>
    <w:rsid w:val="0089654B"/>
    <w:rsid w:val="008967DE"/>
    <w:rsid w:val="00896C1B"/>
    <w:rsid w:val="00896CBE"/>
    <w:rsid w:val="00896D12"/>
    <w:rsid w:val="00896D1A"/>
    <w:rsid w:val="00896EDB"/>
    <w:rsid w:val="0089714B"/>
    <w:rsid w:val="00897B8C"/>
    <w:rsid w:val="008A02AE"/>
    <w:rsid w:val="008A02B5"/>
    <w:rsid w:val="008A03DF"/>
    <w:rsid w:val="008A0437"/>
    <w:rsid w:val="008A0622"/>
    <w:rsid w:val="008A06C9"/>
    <w:rsid w:val="008A076A"/>
    <w:rsid w:val="008A09DA"/>
    <w:rsid w:val="008A0D6E"/>
    <w:rsid w:val="008A0EE3"/>
    <w:rsid w:val="008A0FCD"/>
    <w:rsid w:val="008A1011"/>
    <w:rsid w:val="008A12E8"/>
    <w:rsid w:val="008A15D4"/>
    <w:rsid w:val="008A17C5"/>
    <w:rsid w:val="008A1CEC"/>
    <w:rsid w:val="008A1E2D"/>
    <w:rsid w:val="008A2292"/>
    <w:rsid w:val="008A2366"/>
    <w:rsid w:val="008A2949"/>
    <w:rsid w:val="008A298D"/>
    <w:rsid w:val="008A2A5C"/>
    <w:rsid w:val="008A2C9F"/>
    <w:rsid w:val="008A2CF8"/>
    <w:rsid w:val="008A3B31"/>
    <w:rsid w:val="008A40F0"/>
    <w:rsid w:val="008A495B"/>
    <w:rsid w:val="008A4A65"/>
    <w:rsid w:val="008A4EA3"/>
    <w:rsid w:val="008A5186"/>
    <w:rsid w:val="008A52D0"/>
    <w:rsid w:val="008A54A3"/>
    <w:rsid w:val="008A58EF"/>
    <w:rsid w:val="008A5A9D"/>
    <w:rsid w:val="008A5D21"/>
    <w:rsid w:val="008A6078"/>
    <w:rsid w:val="008A7674"/>
    <w:rsid w:val="008A79D5"/>
    <w:rsid w:val="008A7E9E"/>
    <w:rsid w:val="008B0297"/>
    <w:rsid w:val="008B0346"/>
    <w:rsid w:val="008B039C"/>
    <w:rsid w:val="008B0AE1"/>
    <w:rsid w:val="008B0DAB"/>
    <w:rsid w:val="008B0FAC"/>
    <w:rsid w:val="008B10B7"/>
    <w:rsid w:val="008B1593"/>
    <w:rsid w:val="008B1AF6"/>
    <w:rsid w:val="008B2F0B"/>
    <w:rsid w:val="008B3052"/>
    <w:rsid w:val="008B30BF"/>
    <w:rsid w:val="008B32D5"/>
    <w:rsid w:val="008B3403"/>
    <w:rsid w:val="008B3CEE"/>
    <w:rsid w:val="008B4022"/>
    <w:rsid w:val="008B4352"/>
    <w:rsid w:val="008B5132"/>
    <w:rsid w:val="008B51D8"/>
    <w:rsid w:val="008B5206"/>
    <w:rsid w:val="008B55E1"/>
    <w:rsid w:val="008B5946"/>
    <w:rsid w:val="008B5CEA"/>
    <w:rsid w:val="008B5D52"/>
    <w:rsid w:val="008B60F7"/>
    <w:rsid w:val="008B61E4"/>
    <w:rsid w:val="008B668B"/>
    <w:rsid w:val="008B6782"/>
    <w:rsid w:val="008B6C3F"/>
    <w:rsid w:val="008B6CD1"/>
    <w:rsid w:val="008B7183"/>
    <w:rsid w:val="008B7AB4"/>
    <w:rsid w:val="008B7F06"/>
    <w:rsid w:val="008B7FC3"/>
    <w:rsid w:val="008C02E2"/>
    <w:rsid w:val="008C0323"/>
    <w:rsid w:val="008C0776"/>
    <w:rsid w:val="008C0CA6"/>
    <w:rsid w:val="008C0D66"/>
    <w:rsid w:val="008C0FE6"/>
    <w:rsid w:val="008C1084"/>
    <w:rsid w:val="008C13FE"/>
    <w:rsid w:val="008C1701"/>
    <w:rsid w:val="008C172E"/>
    <w:rsid w:val="008C197B"/>
    <w:rsid w:val="008C229B"/>
    <w:rsid w:val="008C24FC"/>
    <w:rsid w:val="008C31E5"/>
    <w:rsid w:val="008C3608"/>
    <w:rsid w:val="008C367E"/>
    <w:rsid w:val="008C3697"/>
    <w:rsid w:val="008C3A04"/>
    <w:rsid w:val="008C3A13"/>
    <w:rsid w:val="008C3F2F"/>
    <w:rsid w:val="008C4200"/>
    <w:rsid w:val="008C4481"/>
    <w:rsid w:val="008C45CC"/>
    <w:rsid w:val="008C47F2"/>
    <w:rsid w:val="008C48C1"/>
    <w:rsid w:val="008C498F"/>
    <w:rsid w:val="008C4AF7"/>
    <w:rsid w:val="008C4E52"/>
    <w:rsid w:val="008C550F"/>
    <w:rsid w:val="008C5845"/>
    <w:rsid w:val="008C5D7F"/>
    <w:rsid w:val="008C6136"/>
    <w:rsid w:val="008C6220"/>
    <w:rsid w:val="008C6677"/>
    <w:rsid w:val="008C6716"/>
    <w:rsid w:val="008C6736"/>
    <w:rsid w:val="008C69BD"/>
    <w:rsid w:val="008C70CB"/>
    <w:rsid w:val="008C716D"/>
    <w:rsid w:val="008C7A69"/>
    <w:rsid w:val="008C7A8A"/>
    <w:rsid w:val="008C7B37"/>
    <w:rsid w:val="008D059A"/>
    <w:rsid w:val="008D07AC"/>
    <w:rsid w:val="008D0C28"/>
    <w:rsid w:val="008D10FC"/>
    <w:rsid w:val="008D1139"/>
    <w:rsid w:val="008D14EE"/>
    <w:rsid w:val="008D1732"/>
    <w:rsid w:val="008D1818"/>
    <w:rsid w:val="008D1820"/>
    <w:rsid w:val="008D19C9"/>
    <w:rsid w:val="008D1D74"/>
    <w:rsid w:val="008D273C"/>
    <w:rsid w:val="008D289D"/>
    <w:rsid w:val="008D2CEE"/>
    <w:rsid w:val="008D2F00"/>
    <w:rsid w:val="008D30FC"/>
    <w:rsid w:val="008D3107"/>
    <w:rsid w:val="008D33E6"/>
    <w:rsid w:val="008D34C1"/>
    <w:rsid w:val="008D36C0"/>
    <w:rsid w:val="008D38F7"/>
    <w:rsid w:val="008D395E"/>
    <w:rsid w:val="008D3B58"/>
    <w:rsid w:val="008D3B84"/>
    <w:rsid w:val="008D3F0D"/>
    <w:rsid w:val="008D412B"/>
    <w:rsid w:val="008D435E"/>
    <w:rsid w:val="008D4751"/>
    <w:rsid w:val="008D4A40"/>
    <w:rsid w:val="008D59DA"/>
    <w:rsid w:val="008D5D73"/>
    <w:rsid w:val="008D6029"/>
    <w:rsid w:val="008D61A8"/>
    <w:rsid w:val="008D628B"/>
    <w:rsid w:val="008D6836"/>
    <w:rsid w:val="008D694D"/>
    <w:rsid w:val="008D6B49"/>
    <w:rsid w:val="008D6CB6"/>
    <w:rsid w:val="008D6F6B"/>
    <w:rsid w:val="008D704F"/>
    <w:rsid w:val="008D712F"/>
    <w:rsid w:val="008D7C30"/>
    <w:rsid w:val="008D7EF9"/>
    <w:rsid w:val="008D7F00"/>
    <w:rsid w:val="008E00FA"/>
    <w:rsid w:val="008E0CCC"/>
    <w:rsid w:val="008E15B8"/>
    <w:rsid w:val="008E2D5A"/>
    <w:rsid w:val="008E2D6B"/>
    <w:rsid w:val="008E2E73"/>
    <w:rsid w:val="008E304A"/>
    <w:rsid w:val="008E3768"/>
    <w:rsid w:val="008E3A66"/>
    <w:rsid w:val="008E3AA7"/>
    <w:rsid w:val="008E3F86"/>
    <w:rsid w:val="008E4895"/>
    <w:rsid w:val="008E4CDA"/>
    <w:rsid w:val="008E4D14"/>
    <w:rsid w:val="008E4DBD"/>
    <w:rsid w:val="008E4F0C"/>
    <w:rsid w:val="008E505A"/>
    <w:rsid w:val="008E51C4"/>
    <w:rsid w:val="008E5948"/>
    <w:rsid w:val="008E5BC8"/>
    <w:rsid w:val="008E5C1C"/>
    <w:rsid w:val="008E627F"/>
    <w:rsid w:val="008E6399"/>
    <w:rsid w:val="008E64C6"/>
    <w:rsid w:val="008E6852"/>
    <w:rsid w:val="008E6A09"/>
    <w:rsid w:val="008E6E3B"/>
    <w:rsid w:val="008E7104"/>
    <w:rsid w:val="008E71FB"/>
    <w:rsid w:val="008E768A"/>
    <w:rsid w:val="008E76A9"/>
    <w:rsid w:val="008F0007"/>
    <w:rsid w:val="008F0033"/>
    <w:rsid w:val="008F0A44"/>
    <w:rsid w:val="008F0E30"/>
    <w:rsid w:val="008F10AD"/>
    <w:rsid w:val="008F1407"/>
    <w:rsid w:val="008F1758"/>
    <w:rsid w:val="008F1DC2"/>
    <w:rsid w:val="008F2189"/>
    <w:rsid w:val="008F22A4"/>
    <w:rsid w:val="008F231B"/>
    <w:rsid w:val="008F240A"/>
    <w:rsid w:val="008F284F"/>
    <w:rsid w:val="008F286D"/>
    <w:rsid w:val="008F2A31"/>
    <w:rsid w:val="008F3295"/>
    <w:rsid w:val="008F3986"/>
    <w:rsid w:val="008F3DBB"/>
    <w:rsid w:val="008F3E70"/>
    <w:rsid w:val="008F3F8F"/>
    <w:rsid w:val="008F4256"/>
    <w:rsid w:val="008F466F"/>
    <w:rsid w:val="008F47E0"/>
    <w:rsid w:val="008F4813"/>
    <w:rsid w:val="008F4868"/>
    <w:rsid w:val="008F499F"/>
    <w:rsid w:val="008F4BF4"/>
    <w:rsid w:val="008F50D0"/>
    <w:rsid w:val="008F556E"/>
    <w:rsid w:val="008F564B"/>
    <w:rsid w:val="008F5747"/>
    <w:rsid w:val="008F57D5"/>
    <w:rsid w:val="008F5847"/>
    <w:rsid w:val="008F5890"/>
    <w:rsid w:val="008F5C6B"/>
    <w:rsid w:val="008F611F"/>
    <w:rsid w:val="008F6439"/>
    <w:rsid w:val="008F6DE9"/>
    <w:rsid w:val="008F7A91"/>
    <w:rsid w:val="008F7AAB"/>
    <w:rsid w:val="0090001B"/>
    <w:rsid w:val="00900078"/>
    <w:rsid w:val="0090007D"/>
    <w:rsid w:val="0090090C"/>
    <w:rsid w:val="00900D49"/>
    <w:rsid w:val="00900DFD"/>
    <w:rsid w:val="00900E91"/>
    <w:rsid w:val="00901242"/>
    <w:rsid w:val="00901653"/>
    <w:rsid w:val="00901728"/>
    <w:rsid w:val="0090183E"/>
    <w:rsid w:val="00901943"/>
    <w:rsid w:val="00901B47"/>
    <w:rsid w:val="00901B8C"/>
    <w:rsid w:val="00901E95"/>
    <w:rsid w:val="00902149"/>
    <w:rsid w:val="00902671"/>
    <w:rsid w:val="00902994"/>
    <w:rsid w:val="00902DBC"/>
    <w:rsid w:val="009035F7"/>
    <w:rsid w:val="009037D6"/>
    <w:rsid w:val="00903E09"/>
    <w:rsid w:val="00903F48"/>
    <w:rsid w:val="0090440D"/>
    <w:rsid w:val="00904486"/>
    <w:rsid w:val="009044DB"/>
    <w:rsid w:val="00904549"/>
    <w:rsid w:val="00904FF2"/>
    <w:rsid w:val="00905134"/>
    <w:rsid w:val="009051D3"/>
    <w:rsid w:val="0090540F"/>
    <w:rsid w:val="00905813"/>
    <w:rsid w:val="00906D65"/>
    <w:rsid w:val="00906E85"/>
    <w:rsid w:val="009073EE"/>
    <w:rsid w:val="00907485"/>
    <w:rsid w:val="009075B2"/>
    <w:rsid w:val="00907677"/>
    <w:rsid w:val="009076ED"/>
    <w:rsid w:val="00907771"/>
    <w:rsid w:val="00907793"/>
    <w:rsid w:val="00910758"/>
    <w:rsid w:val="00910765"/>
    <w:rsid w:val="0091085F"/>
    <w:rsid w:val="00910E89"/>
    <w:rsid w:val="009111C6"/>
    <w:rsid w:val="00911A53"/>
    <w:rsid w:val="00912428"/>
    <w:rsid w:val="0091356B"/>
    <w:rsid w:val="009136CD"/>
    <w:rsid w:val="00913C61"/>
    <w:rsid w:val="00913E3A"/>
    <w:rsid w:val="00913F78"/>
    <w:rsid w:val="0091420A"/>
    <w:rsid w:val="009142CB"/>
    <w:rsid w:val="00914550"/>
    <w:rsid w:val="009145B0"/>
    <w:rsid w:val="009146DB"/>
    <w:rsid w:val="0091487A"/>
    <w:rsid w:val="0091488D"/>
    <w:rsid w:val="009149CB"/>
    <w:rsid w:val="0091518E"/>
    <w:rsid w:val="0091555E"/>
    <w:rsid w:val="00915773"/>
    <w:rsid w:val="0091582E"/>
    <w:rsid w:val="00915C84"/>
    <w:rsid w:val="00915E74"/>
    <w:rsid w:val="00916102"/>
    <w:rsid w:val="009161FB"/>
    <w:rsid w:val="009162CC"/>
    <w:rsid w:val="009164DB"/>
    <w:rsid w:val="00916B41"/>
    <w:rsid w:val="00916C6F"/>
    <w:rsid w:val="00916E7D"/>
    <w:rsid w:val="00917354"/>
    <w:rsid w:val="009174FE"/>
    <w:rsid w:val="00920072"/>
    <w:rsid w:val="009200CD"/>
    <w:rsid w:val="0092029E"/>
    <w:rsid w:val="0092033C"/>
    <w:rsid w:val="009208B3"/>
    <w:rsid w:val="00920A6F"/>
    <w:rsid w:val="00920DA5"/>
    <w:rsid w:val="00921632"/>
    <w:rsid w:val="009216F0"/>
    <w:rsid w:val="009217A5"/>
    <w:rsid w:val="00921813"/>
    <w:rsid w:val="009219DD"/>
    <w:rsid w:val="00921A58"/>
    <w:rsid w:val="00921B15"/>
    <w:rsid w:val="00921C66"/>
    <w:rsid w:val="009221FF"/>
    <w:rsid w:val="00922430"/>
    <w:rsid w:val="00922531"/>
    <w:rsid w:val="00922CAF"/>
    <w:rsid w:val="00922D8D"/>
    <w:rsid w:val="009234AE"/>
    <w:rsid w:val="009236C8"/>
    <w:rsid w:val="009239FF"/>
    <w:rsid w:val="00923AE8"/>
    <w:rsid w:val="00924753"/>
    <w:rsid w:val="00924B6D"/>
    <w:rsid w:val="00925100"/>
    <w:rsid w:val="009252C3"/>
    <w:rsid w:val="00925733"/>
    <w:rsid w:val="0092575B"/>
    <w:rsid w:val="009257D8"/>
    <w:rsid w:val="00925938"/>
    <w:rsid w:val="00925CC0"/>
    <w:rsid w:val="00925DD1"/>
    <w:rsid w:val="00925F3F"/>
    <w:rsid w:val="0092617D"/>
    <w:rsid w:val="0092626E"/>
    <w:rsid w:val="00926658"/>
    <w:rsid w:val="00926A0E"/>
    <w:rsid w:val="0093037F"/>
    <w:rsid w:val="009303F9"/>
    <w:rsid w:val="009307AE"/>
    <w:rsid w:val="00930CB1"/>
    <w:rsid w:val="0093140B"/>
    <w:rsid w:val="00931509"/>
    <w:rsid w:val="00931906"/>
    <w:rsid w:val="00931CE3"/>
    <w:rsid w:val="00931E23"/>
    <w:rsid w:val="00932506"/>
    <w:rsid w:val="009327D8"/>
    <w:rsid w:val="00932B38"/>
    <w:rsid w:val="00932D19"/>
    <w:rsid w:val="0093332B"/>
    <w:rsid w:val="009333BB"/>
    <w:rsid w:val="0093348D"/>
    <w:rsid w:val="009337B0"/>
    <w:rsid w:val="009344A4"/>
    <w:rsid w:val="009346DC"/>
    <w:rsid w:val="0093476A"/>
    <w:rsid w:val="00935037"/>
    <w:rsid w:val="009354B3"/>
    <w:rsid w:val="009354FE"/>
    <w:rsid w:val="009360E2"/>
    <w:rsid w:val="0093632B"/>
    <w:rsid w:val="0093650C"/>
    <w:rsid w:val="0093659D"/>
    <w:rsid w:val="00936BAA"/>
    <w:rsid w:val="00936C48"/>
    <w:rsid w:val="00936E63"/>
    <w:rsid w:val="00936E92"/>
    <w:rsid w:val="009370DB"/>
    <w:rsid w:val="009375DB"/>
    <w:rsid w:val="00937678"/>
    <w:rsid w:val="009378B6"/>
    <w:rsid w:val="00937D9D"/>
    <w:rsid w:val="0094027E"/>
    <w:rsid w:val="009402DC"/>
    <w:rsid w:val="00940381"/>
    <w:rsid w:val="009403D1"/>
    <w:rsid w:val="009404C9"/>
    <w:rsid w:val="00940938"/>
    <w:rsid w:val="00940DCE"/>
    <w:rsid w:val="009418A6"/>
    <w:rsid w:val="00941B47"/>
    <w:rsid w:val="00941C77"/>
    <w:rsid w:val="00941FC3"/>
    <w:rsid w:val="00942003"/>
    <w:rsid w:val="00943141"/>
    <w:rsid w:val="0094322F"/>
    <w:rsid w:val="009432E9"/>
    <w:rsid w:val="0094339C"/>
    <w:rsid w:val="00943954"/>
    <w:rsid w:val="00943C45"/>
    <w:rsid w:val="00943EAD"/>
    <w:rsid w:val="00944227"/>
    <w:rsid w:val="009444E9"/>
    <w:rsid w:val="00944707"/>
    <w:rsid w:val="00944996"/>
    <w:rsid w:val="00944A1A"/>
    <w:rsid w:val="00944E7E"/>
    <w:rsid w:val="00945104"/>
    <w:rsid w:val="0094536C"/>
    <w:rsid w:val="0094540F"/>
    <w:rsid w:val="00945519"/>
    <w:rsid w:val="00945ADB"/>
    <w:rsid w:val="009460B6"/>
    <w:rsid w:val="00946127"/>
    <w:rsid w:val="009467B0"/>
    <w:rsid w:val="0094680D"/>
    <w:rsid w:val="009468BC"/>
    <w:rsid w:val="00946EAA"/>
    <w:rsid w:val="00946EE1"/>
    <w:rsid w:val="0094772C"/>
    <w:rsid w:val="00947875"/>
    <w:rsid w:val="00947BE5"/>
    <w:rsid w:val="0095050A"/>
    <w:rsid w:val="009510E1"/>
    <w:rsid w:val="0095146C"/>
    <w:rsid w:val="009515B4"/>
    <w:rsid w:val="009516C2"/>
    <w:rsid w:val="00951A06"/>
    <w:rsid w:val="00952189"/>
    <w:rsid w:val="009526F1"/>
    <w:rsid w:val="00953284"/>
    <w:rsid w:val="00953B47"/>
    <w:rsid w:val="00954059"/>
    <w:rsid w:val="00954107"/>
    <w:rsid w:val="00954149"/>
    <w:rsid w:val="009542F7"/>
    <w:rsid w:val="00954376"/>
    <w:rsid w:val="009544F9"/>
    <w:rsid w:val="00955076"/>
    <w:rsid w:val="00955881"/>
    <w:rsid w:val="00955A10"/>
    <w:rsid w:val="009568E4"/>
    <w:rsid w:val="0095698A"/>
    <w:rsid w:val="00956A46"/>
    <w:rsid w:val="0095717F"/>
    <w:rsid w:val="0095764F"/>
    <w:rsid w:val="009576F3"/>
    <w:rsid w:val="00957D2D"/>
    <w:rsid w:val="00957E87"/>
    <w:rsid w:val="009604C1"/>
    <w:rsid w:val="00960AD0"/>
    <w:rsid w:val="00960B11"/>
    <w:rsid w:val="0096108A"/>
    <w:rsid w:val="00961212"/>
    <w:rsid w:val="00961D4D"/>
    <w:rsid w:val="00962536"/>
    <w:rsid w:val="009629DE"/>
    <w:rsid w:val="009630D1"/>
    <w:rsid w:val="00963491"/>
    <w:rsid w:val="009634D5"/>
    <w:rsid w:val="00963704"/>
    <w:rsid w:val="0096383B"/>
    <w:rsid w:val="00963A1F"/>
    <w:rsid w:val="00963B19"/>
    <w:rsid w:val="00963E82"/>
    <w:rsid w:val="00963F04"/>
    <w:rsid w:val="00964056"/>
    <w:rsid w:val="00964703"/>
    <w:rsid w:val="00964B3A"/>
    <w:rsid w:val="00964F0F"/>
    <w:rsid w:val="00964FBA"/>
    <w:rsid w:val="009656B3"/>
    <w:rsid w:val="0096572D"/>
    <w:rsid w:val="00965A98"/>
    <w:rsid w:val="00965C2C"/>
    <w:rsid w:val="009660C5"/>
    <w:rsid w:val="0096610E"/>
    <w:rsid w:val="00966259"/>
    <w:rsid w:val="0096629B"/>
    <w:rsid w:val="009663AC"/>
    <w:rsid w:val="00966AF8"/>
    <w:rsid w:val="00966BC1"/>
    <w:rsid w:val="00966E8D"/>
    <w:rsid w:val="00967260"/>
    <w:rsid w:val="009674AC"/>
    <w:rsid w:val="009674E8"/>
    <w:rsid w:val="00967753"/>
    <w:rsid w:val="0096785F"/>
    <w:rsid w:val="00967928"/>
    <w:rsid w:val="00967C1E"/>
    <w:rsid w:val="00970233"/>
    <w:rsid w:val="009705D6"/>
    <w:rsid w:val="009708E3"/>
    <w:rsid w:val="00970C05"/>
    <w:rsid w:val="00970D96"/>
    <w:rsid w:val="0097119C"/>
    <w:rsid w:val="00971ABB"/>
    <w:rsid w:val="00971C50"/>
    <w:rsid w:val="00971D9F"/>
    <w:rsid w:val="0097245D"/>
    <w:rsid w:val="009726A4"/>
    <w:rsid w:val="009728F7"/>
    <w:rsid w:val="00972CC7"/>
    <w:rsid w:val="00973438"/>
    <w:rsid w:val="009735F5"/>
    <w:rsid w:val="00973B5C"/>
    <w:rsid w:val="00974549"/>
    <w:rsid w:val="0097454A"/>
    <w:rsid w:val="00974743"/>
    <w:rsid w:val="00974BD1"/>
    <w:rsid w:val="00974DF6"/>
    <w:rsid w:val="00974E80"/>
    <w:rsid w:val="00975330"/>
    <w:rsid w:val="00975926"/>
    <w:rsid w:val="00975A46"/>
    <w:rsid w:val="0097646C"/>
    <w:rsid w:val="00976596"/>
    <w:rsid w:val="00976751"/>
    <w:rsid w:val="00976925"/>
    <w:rsid w:val="009773F7"/>
    <w:rsid w:val="00977699"/>
    <w:rsid w:val="00977B4C"/>
    <w:rsid w:val="00977DE3"/>
    <w:rsid w:val="00980388"/>
    <w:rsid w:val="0098055D"/>
    <w:rsid w:val="009807A7"/>
    <w:rsid w:val="00980922"/>
    <w:rsid w:val="00980B13"/>
    <w:rsid w:val="00980B9C"/>
    <w:rsid w:val="0098103F"/>
    <w:rsid w:val="00981246"/>
    <w:rsid w:val="00981962"/>
    <w:rsid w:val="00981E75"/>
    <w:rsid w:val="009829E2"/>
    <w:rsid w:val="00983348"/>
    <w:rsid w:val="0098362F"/>
    <w:rsid w:val="00983E7D"/>
    <w:rsid w:val="009842D4"/>
    <w:rsid w:val="0098434A"/>
    <w:rsid w:val="0098483A"/>
    <w:rsid w:val="00984A3C"/>
    <w:rsid w:val="00984B1F"/>
    <w:rsid w:val="00984D4B"/>
    <w:rsid w:val="00984F44"/>
    <w:rsid w:val="00985E5D"/>
    <w:rsid w:val="00985F62"/>
    <w:rsid w:val="0098608A"/>
    <w:rsid w:val="00986435"/>
    <w:rsid w:val="00986EA7"/>
    <w:rsid w:val="00987758"/>
    <w:rsid w:val="00987792"/>
    <w:rsid w:val="009900E4"/>
    <w:rsid w:val="009902D9"/>
    <w:rsid w:val="0099073B"/>
    <w:rsid w:val="00990B10"/>
    <w:rsid w:val="00990B9D"/>
    <w:rsid w:val="00991267"/>
    <w:rsid w:val="00991450"/>
    <w:rsid w:val="009914C9"/>
    <w:rsid w:val="00991E1C"/>
    <w:rsid w:val="00991F28"/>
    <w:rsid w:val="00992FBE"/>
    <w:rsid w:val="0099313D"/>
    <w:rsid w:val="00993AFB"/>
    <w:rsid w:val="00993B28"/>
    <w:rsid w:val="00994117"/>
    <w:rsid w:val="00994D6F"/>
    <w:rsid w:val="00994FAD"/>
    <w:rsid w:val="0099510D"/>
    <w:rsid w:val="0099553C"/>
    <w:rsid w:val="00995C93"/>
    <w:rsid w:val="00995CF6"/>
    <w:rsid w:val="009960EC"/>
    <w:rsid w:val="009963B6"/>
    <w:rsid w:val="00996811"/>
    <w:rsid w:val="00997062"/>
    <w:rsid w:val="0099729E"/>
    <w:rsid w:val="0099747A"/>
    <w:rsid w:val="009974D0"/>
    <w:rsid w:val="009978A9"/>
    <w:rsid w:val="00997E9C"/>
    <w:rsid w:val="00997F52"/>
    <w:rsid w:val="009A0028"/>
    <w:rsid w:val="009A00E5"/>
    <w:rsid w:val="009A02DA"/>
    <w:rsid w:val="009A0CD0"/>
    <w:rsid w:val="009A150B"/>
    <w:rsid w:val="009A1664"/>
    <w:rsid w:val="009A1677"/>
    <w:rsid w:val="009A16D0"/>
    <w:rsid w:val="009A1819"/>
    <w:rsid w:val="009A1C2A"/>
    <w:rsid w:val="009A1F2F"/>
    <w:rsid w:val="009A1F4B"/>
    <w:rsid w:val="009A2326"/>
    <w:rsid w:val="009A2380"/>
    <w:rsid w:val="009A25D4"/>
    <w:rsid w:val="009A2760"/>
    <w:rsid w:val="009A27DF"/>
    <w:rsid w:val="009A28D5"/>
    <w:rsid w:val="009A2C2A"/>
    <w:rsid w:val="009A2C7C"/>
    <w:rsid w:val="009A2E75"/>
    <w:rsid w:val="009A3227"/>
    <w:rsid w:val="009A325B"/>
    <w:rsid w:val="009A3473"/>
    <w:rsid w:val="009A3661"/>
    <w:rsid w:val="009A386C"/>
    <w:rsid w:val="009A3A1C"/>
    <w:rsid w:val="009A3DCE"/>
    <w:rsid w:val="009A55C8"/>
    <w:rsid w:val="009A57B0"/>
    <w:rsid w:val="009A598C"/>
    <w:rsid w:val="009A5C03"/>
    <w:rsid w:val="009A5C0B"/>
    <w:rsid w:val="009A5F5F"/>
    <w:rsid w:val="009A5FA1"/>
    <w:rsid w:val="009A5FF4"/>
    <w:rsid w:val="009A6273"/>
    <w:rsid w:val="009A6870"/>
    <w:rsid w:val="009A6A1D"/>
    <w:rsid w:val="009A6E87"/>
    <w:rsid w:val="009A708E"/>
    <w:rsid w:val="009A7181"/>
    <w:rsid w:val="009A746E"/>
    <w:rsid w:val="009A7C22"/>
    <w:rsid w:val="009B00D4"/>
    <w:rsid w:val="009B087E"/>
    <w:rsid w:val="009B0895"/>
    <w:rsid w:val="009B0E39"/>
    <w:rsid w:val="009B0F2A"/>
    <w:rsid w:val="009B0FCE"/>
    <w:rsid w:val="009B1323"/>
    <w:rsid w:val="009B140D"/>
    <w:rsid w:val="009B1691"/>
    <w:rsid w:val="009B172C"/>
    <w:rsid w:val="009B1BC4"/>
    <w:rsid w:val="009B1E5D"/>
    <w:rsid w:val="009B22CF"/>
    <w:rsid w:val="009B2EF1"/>
    <w:rsid w:val="009B31D5"/>
    <w:rsid w:val="009B3641"/>
    <w:rsid w:val="009B3694"/>
    <w:rsid w:val="009B386E"/>
    <w:rsid w:val="009B42FB"/>
    <w:rsid w:val="009B44FA"/>
    <w:rsid w:val="009B45A8"/>
    <w:rsid w:val="009B46DB"/>
    <w:rsid w:val="009B49A9"/>
    <w:rsid w:val="009B4C1D"/>
    <w:rsid w:val="009B4E2F"/>
    <w:rsid w:val="009B501C"/>
    <w:rsid w:val="009B5114"/>
    <w:rsid w:val="009B57B3"/>
    <w:rsid w:val="009B5985"/>
    <w:rsid w:val="009B5A1A"/>
    <w:rsid w:val="009B5AD7"/>
    <w:rsid w:val="009B61FC"/>
    <w:rsid w:val="009B6236"/>
    <w:rsid w:val="009B67EE"/>
    <w:rsid w:val="009B769E"/>
    <w:rsid w:val="009B7807"/>
    <w:rsid w:val="009C0345"/>
    <w:rsid w:val="009C05D7"/>
    <w:rsid w:val="009C086E"/>
    <w:rsid w:val="009C08B7"/>
    <w:rsid w:val="009C0EF4"/>
    <w:rsid w:val="009C0FE9"/>
    <w:rsid w:val="009C1314"/>
    <w:rsid w:val="009C1399"/>
    <w:rsid w:val="009C1652"/>
    <w:rsid w:val="009C1656"/>
    <w:rsid w:val="009C19D2"/>
    <w:rsid w:val="009C1DCB"/>
    <w:rsid w:val="009C1DDB"/>
    <w:rsid w:val="009C1F41"/>
    <w:rsid w:val="009C21F6"/>
    <w:rsid w:val="009C2AFB"/>
    <w:rsid w:val="009C2D09"/>
    <w:rsid w:val="009C310A"/>
    <w:rsid w:val="009C34FC"/>
    <w:rsid w:val="009C37E4"/>
    <w:rsid w:val="009C39AB"/>
    <w:rsid w:val="009C3AE3"/>
    <w:rsid w:val="009C3D23"/>
    <w:rsid w:val="009C3DB4"/>
    <w:rsid w:val="009C414E"/>
    <w:rsid w:val="009C419C"/>
    <w:rsid w:val="009C429C"/>
    <w:rsid w:val="009C4319"/>
    <w:rsid w:val="009C4465"/>
    <w:rsid w:val="009C48E2"/>
    <w:rsid w:val="009C509D"/>
    <w:rsid w:val="009C537A"/>
    <w:rsid w:val="009C5600"/>
    <w:rsid w:val="009C560C"/>
    <w:rsid w:val="009C5911"/>
    <w:rsid w:val="009C5975"/>
    <w:rsid w:val="009C59FC"/>
    <w:rsid w:val="009C67EF"/>
    <w:rsid w:val="009C7537"/>
    <w:rsid w:val="009C7C06"/>
    <w:rsid w:val="009C7DE7"/>
    <w:rsid w:val="009C7DF3"/>
    <w:rsid w:val="009C7F5F"/>
    <w:rsid w:val="009D00C4"/>
    <w:rsid w:val="009D018B"/>
    <w:rsid w:val="009D0676"/>
    <w:rsid w:val="009D099E"/>
    <w:rsid w:val="009D0F41"/>
    <w:rsid w:val="009D1268"/>
    <w:rsid w:val="009D1471"/>
    <w:rsid w:val="009D15B1"/>
    <w:rsid w:val="009D1646"/>
    <w:rsid w:val="009D1B1D"/>
    <w:rsid w:val="009D1D9B"/>
    <w:rsid w:val="009D22DB"/>
    <w:rsid w:val="009D2D75"/>
    <w:rsid w:val="009D3418"/>
    <w:rsid w:val="009D3457"/>
    <w:rsid w:val="009D38C3"/>
    <w:rsid w:val="009D3CB4"/>
    <w:rsid w:val="009D4001"/>
    <w:rsid w:val="009D430E"/>
    <w:rsid w:val="009D43F8"/>
    <w:rsid w:val="009D4BC8"/>
    <w:rsid w:val="009D4F5D"/>
    <w:rsid w:val="009D51E3"/>
    <w:rsid w:val="009D57AA"/>
    <w:rsid w:val="009D5D7B"/>
    <w:rsid w:val="009D605B"/>
    <w:rsid w:val="009D61E6"/>
    <w:rsid w:val="009D6513"/>
    <w:rsid w:val="009D6B4C"/>
    <w:rsid w:val="009D6D47"/>
    <w:rsid w:val="009D6E82"/>
    <w:rsid w:val="009D7255"/>
    <w:rsid w:val="009D7943"/>
    <w:rsid w:val="009D7BA1"/>
    <w:rsid w:val="009D7CC5"/>
    <w:rsid w:val="009E02F3"/>
    <w:rsid w:val="009E0857"/>
    <w:rsid w:val="009E0974"/>
    <w:rsid w:val="009E0A81"/>
    <w:rsid w:val="009E0DF7"/>
    <w:rsid w:val="009E0F3F"/>
    <w:rsid w:val="009E113F"/>
    <w:rsid w:val="009E12AF"/>
    <w:rsid w:val="009E18B8"/>
    <w:rsid w:val="009E197E"/>
    <w:rsid w:val="009E1B58"/>
    <w:rsid w:val="009E1FE2"/>
    <w:rsid w:val="009E22E6"/>
    <w:rsid w:val="009E2638"/>
    <w:rsid w:val="009E2F2E"/>
    <w:rsid w:val="009E301C"/>
    <w:rsid w:val="009E332E"/>
    <w:rsid w:val="009E3376"/>
    <w:rsid w:val="009E3464"/>
    <w:rsid w:val="009E37E5"/>
    <w:rsid w:val="009E4399"/>
    <w:rsid w:val="009E4694"/>
    <w:rsid w:val="009E47A1"/>
    <w:rsid w:val="009E48CF"/>
    <w:rsid w:val="009E4C33"/>
    <w:rsid w:val="009E4E22"/>
    <w:rsid w:val="009E4F19"/>
    <w:rsid w:val="009E4FE8"/>
    <w:rsid w:val="009E5A40"/>
    <w:rsid w:val="009E5E2D"/>
    <w:rsid w:val="009E60EA"/>
    <w:rsid w:val="009E6100"/>
    <w:rsid w:val="009E6120"/>
    <w:rsid w:val="009E61F1"/>
    <w:rsid w:val="009E6417"/>
    <w:rsid w:val="009E66C9"/>
    <w:rsid w:val="009E6757"/>
    <w:rsid w:val="009E681D"/>
    <w:rsid w:val="009E6AB2"/>
    <w:rsid w:val="009E743E"/>
    <w:rsid w:val="009E74A8"/>
    <w:rsid w:val="009E77F5"/>
    <w:rsid w:val="009F01AB"/>
    <w:rsid w:val="009F04E2"/>
    <w:rsid w:val="009F0AA4"/>
    <w:rsid w:val="009F0DFC"/>
    <w:rsid w:val="009F0FEF"/>
    <w:rsid w:val="009F18C4"/>
    <w:rsid w:val="009F1974"/>
    <w:rsid w:val="009F1F49"/>
    <w:rsid w:val="009F2218"/>
    <w:rsid w:val="009F2B3B"/>
    <w:rsid w:val="009F2C26"/>
    <w:rsid w:val="009F2F86"/>
    <w:rsid w:val="009F3336"/>
    <w:rsid w:val="009F338E"/>
    <w:rsid w:val="009F358F"/>
    <w:rsid w:val="009F35B4"/>
    <w:rsid w:val="009F39DC"/>
    <w:rsid w:val="009F3F6E"/>
    <w:rsid w:val="009F4236"/>
    <w:rsid w:val="009F488B"/>
    <w:rsid w:val="009F4905"/>
    <w:rsid w:val="009F4CF0"/>
    <w:rsid w:val="009F4EA8"/>
    <w:rsid w:val="009F5265"/>
    <w:rsid w:val="009F52CE"/>
    <w:rsid w:val="009F5419"/>
    <w:rsid w:val="009F54A5"/>
    <w:rsid w:val="009F55E1"/>
    <w:rsid w:val="009F568C"/>
    <w:rsid w:val="009F573F"/>
    <w:rsid w:val="009F5996"/>
    <w:rsid w:val="009F59BE"/>
    <w:rsid w:val="009F5BF5"/>
    <w:rsid w:val="009F686A"/>
    <w:rsid w:val="009F6A3E"/>
    <w:rsid w:val="009F6FB3"/>
    <w:rsid w:val="009F701B"/>
    <w:rsid w:val="009F7350"/>
    <w:rsid w:val="00A002B1"/>
    <w:rsid w:val="00A0084E"/>
    <w:rsid w:val="00A00A53"/>
    <w:rsid w:val="00A01176"/>
    <w:rsid w:val="00A01232"/>
    <w:rsid w:val="00A01449"/>
    <w:rsid w:val="00A01607"/>
    <w:rsid w:val="00A018A3"/>
    <w:rsid w:val="00A01DD5"/>
    <w:rsid w:val="00A02322"/>
    <w:rsid w:val="00A02C8A"/>
    <w:rsid w:val="00A02D1B"/>
    <w:rsid w:val="00A02F59"/>
    <w:rsid w:val="00A02F79"/>
    <w:rsid w:val="00A03139"/>
    <w:rsid w:val="00A036C6"/>
    <w:rsid w:val="00A0396B"/>
    <w:rsid w:val="00A04058"/>
    <w:rsid w:val="00A04191"/>
    <w:rsid w:val="00A042A1"/>
    <w:rsid w:val="00A042FA"/>
    <w:rsid w:val="00A0436E"/>
    <w:rsid w:val="00A047BB"/>
    <w:rsid w:val="00A048CB"/>
    <w:rsid w:val="00A04C3E"/>
    <w:rsid w:val="00A053BF"/>
    <w:rsid w:val="00A05602"/>
    <w:rsid w:val="00A05727"/>
    <w:rsid w:val="00A057EB"/>
    <w:rsid w:val="00A0592F"/>
    <w:rsid w:val="00A059CE"/>
    <w:rsid w:val="00A05AE7"/>
    <w:rsid w:val="00A05B9F"/>
    <w:rsid w:val="00A05BB5"/>
    <w:rsid w:val="00A05D8A"/>
    <w:rsid w:val="00A065E8"/>
    <w:rsid w:val="00A07069"/>
    <w:rsid w:val="00A0713E"/>
    <w:rsid w:val="00A07525"/>
    <w:rsid w:val="00A07747"/>
    <w:rsid w:val="00A077CE"/>
    <w:rsid w:val="00A07852"/>
    <w:rsid w:val="00A07DA1"/>
    <w:rsid w:val="00A108DB"/>
    <w:rsid w:val="00A11379"/>
    <w:rsid w:val="00A113B1"/>
    <w:rsid w:val="00A118CF"/>
    <w:rsid w:val="00A119A4"/>
    <w:rsid w:val="00A11C9C"/>
    <w:rsid w:val="00A123DD"/>
    <w:rsid w:val="00A12FC6"/>
    <w:rsid w:val="00A13115"/>
    <w:rsid w:val="00A131B8"/>
    <w:rsid w:val="00A13910"/>
    <w:rsid w:val="00A13C79"/>
    <w:rsid w:val="00A13DA2"/>
    <w:rsid w:val="00A141A6"/>
    <w:rsid w:val="00A1453D"/>
    <w:rsid w:val="00A14653"/>
    <w:rsid w:val="00A148AC"/>
    <w:rsid w:val="00A14926"/>
    <w:rsid w:val="00A14F60"/>
    <w:rsid w:val="00A15058"/>
    <w:rsid w:val="00A15529"/>
    <w:rsid w:val="00A165A1"/>
    <w:rsid w:val="00A16A62"/>
    <w:rsid w:val="00A16D76"/>
    <w:rsid w:val="00A1715B"/>
    <w:rsid w:val="00A1729C"/>
    <w:rsid w:val="00A17518"/>
    <w:rsid w:val="00A1790B"/>
    <w:rsid w:val="00A17AE7"/>
    <w:rsid w:val="00A17D64"/>
    <w:rsid w:val="00A202C1"/>
    <w:rsid w:val="00A20A92"/>
    <w:rsid w:val="00A20AFE"/>
    <w:rsid w:val="00A20D6F"/>
    <w:rsid w:val="00A21057"/>
    <w:rsid w:val="00A21BE1"/>
    <w:rsid w:val="00A22CC7"/>
    <w:rsid w:val="00A22DCE"/>
    <w:rsid w:val="00A237D2"/>
    <w:rsid w:val="00A238E0"/>
    <w:rsid w:val="00A24783"/>
    <w:rsid w:val="00A24FB7"/>
    <w:rsid w:val="00A25855"/>
    <w:rsid w:val="00A25876"/>
    <w:rsid w:val="00A25CD3"/>
    <w:rsid w:val="00A25D17"/>
    <w:rsid w:val="00A25EF6"/>
    <w:rsid w:val="00A26085"/>
    <w:rsid w:val="00A2608D"/>
    <w:rsid w:val="00A2618B"/>
    <w:rsid w:val="00A26450"/>
    <w:rsid w:val="00A26541"/>
    <w:rsid w:val="00A26E31"/>
    <w:rsid w:val="00A26E43"/>
    <w:rsid w:val="00A2714E"/>
    <w:rsid w:val="00A2765B"/>
    <w:rsid w:val="00A27B70"/>
    <w:rsid w:val="00A27C9D"/>
    <w:rsid w:val="00A30008"/>
    <w:rsid w:val="00A301EC"/>
    <w:rsid w:val="00A30B78"/>
    <w:rsid w:val="00A30F7A"/>
    <w:rsid w:val="00A318B2"/>
    <w:rsid w:val="00A31FA3"/>
    <w:rsid w:val="00A32843"/>
    <w:rsid w:val="00A3348E"/>
    <w:rsid w:val="00A33B38"/>
    <w:rsid w:val="00A33B7A"/>
    <w:rsid w:val="00A33F80"/>
    <w:rsid w:val="00A34347"/>
    <w:rsid w:val="00A347F3"/>
    <w:rsid w:val="00A34B68"/>
    <w:rsid w:val="00A34E7A"/>
    <w:rsid w:val="00A34EC8"/>
    <w:rsid w:val="00A350B3"/>
    <w:rsid w:val="00A350DB"/>
    <w:rsid w:val="00A3543B"/>
    <w:rsid w:val="00A3550C"/>
    <w:rsid w:val="00A3571D"/>
    <w:rsid w:val="00A358EF"/>
    <w:rsid w:val="00A35926"/>
    <w:rsid w:val="00A35AAB"/>
    <w:rsid w:val="00A35B56"/>
    <w:rsid w:val="00A35C99"/>
    <w:rsid w:val="00A35F5E"/>
    <w:rsid w:val="00A36AA2"/>
    <w:rsid w:val="00A36CF2"/>
    <w:rsid w:val="00A37BB8"/>
    <w:rsid w:val="00A37BC5"/>
    <w:rsid w:val="00A37DD0"/>
    <w:rsid w:val="00A37F31"/>
    <w:rsid w:val="00A40089"/>
    <w:rsid w:val="00A40335"/>
    <w:rsid w:val="00A407E6"/>
    <w:rsid w:val="00A408C8"/>
    <w:rsid w:val="00A40907"/>
    <w:rsid w:val="00A40933"/>
    <w:rsid w:val="00A40BE0"/>
    <w:rsid w:val="00A40EAC"/>
    <w:rsid w:val="00A40EAD"/>
    <w:rsid w:val="00A40F8D"/>
    <w:rsid w:val="00A4106A"/>
    <w:rsid w:val="00A41366"/>
    <w:rsid w:val="00A41B46"/>
    <w:rsid w:val="00A41BAD"/>
    <w:rsid w:val="00A41F6C"/>
    <w:rsid w:val="00A41FF5"/>
    <w:rsid w:val="00A423AF"/>
    <w:rsid w:val="00A4245C"/>
    <w:rsid w:val="00A426B0"/>
    <w:rsid w:val="00A4293A"/>
    <w:rsid w:val="00A4294D"/>
    <w:rsid w:val="00A42D2A"/>
    <w:rsid w:val="00A4303A"/>
    <w:rsid w:val="00A43349"/>
    <w:rsid w:val="00A43ADA"/>
    <w:rsid w:val="00A43FDB"/>
    <w:rsid w:val="00A441D8"/>
    <w:rsid w:val="00A4449E"/>
    <w:rsid w:val="00A44501"/>
    <w:rsid w:val="00A4469E"/>
    <w:rsid w:val="00A447DC"/>
    <w:rsid w:val="00A449AA"/>
    <w:rsid w:val="00A45466"/>
    <w:rsid w:val="00A45A34"/>
    <w:rsid w:val="00A46255"/>
    <w:rsid w:val="00A465BD"/>
    <w:rsid w:val="00A4686C"/>
    <w:rsid w:val="00A46899"/>
    <w:rsid w:val="00A46B05"/>
    <w:rsid w:val="00A47132"/>
    <w:rsid w:val="00A501DA"/>
    <w:rsid w:val="00A504D8"/>
    <w:rsid w:val="00A50556"/>
    <w:rsid w:val="00A5056B"/>
    <w:rsid w:val="00A5065E"/>
    <w:rsid w:val="00A506AF"/>
    <w:rsid w:val="00A50A83"/>
    <w:rsid w:val="00A50E20"/>
    <w:rsid w:val="00A50F61"/>
    <w:rsid w:val="00A514FC"/>
    <w:rsid w:val="00A51B9E"/>
    <w:rsid w:val="00A52368"/>
    <w:rsid w:val="00A52562"/>
    <w:rsid w:val="00A52F3B"/>
    <w:rsid w:val="00A531D0"/>
    <w:rsid w:val="00A5324E"/>
    <w:rsid w:val="00A533A1"/>
    <w:rsid w:val="00A53488"/>
    <w:rsid w:val="00A53636"/>
    <w:rsid w:val="00A53896"/>
    <w:rsid w:val="00A53EB3"/>
    <w:rsid w:val="00A53EB6"/>
    <w:rsid w:val="00A53F4B"/>
    <w:rsid w:val="00A5447E"/>
    <w:rsid w:val="00A54BEC"/>
    <w:rsid w:val="00A54DE0"/>
    <w:rsid w:val="00A555B2"/>
    <w:rsid w:val="00A558B6"/>
    <w:rsid w:val="00A55DB1"/>
    <w:rsid w:val="00A55FC7"/>
    <w:rsid w:val="00A561A4"/>
    <w:rsid w:val="00A56ADC"/>
    <w:rsid w:val="00A57BF1"/>
    <w:rsid w:val="00A57D9F"/>
    <w:rsid w:val="00A57DD6"/>
    <w:rsid w:val="00A57DE5"/>
    <w:rsid w:val="00A60651"/>
    <w:rsid w:val="00A606FF"/>
    <w:rsid w:val="00A61134"/>
    <w:rsid w:val="00A6113F"/>
    <w:rsid w:val="00A630E3"/>
    <w:rsid w:val="00A63198"/>
    <w:rsid w:val="00A63207"/>
    <w:rsid w:val="00A63DA0"/>
    <w:rsid w:val="00A644FF"/>
    <w:rsid w:val="00A64A34"/>
    <w:rsid w:val="00A64CCC"/>
    <w:rsid w:val="00A64ECB"/>
    <w:rsid w:val="00A65419"/>
    <w:rsid w:val="00A65D41"/>
    <w:rsid w:val="00A66117"/>
    <w:rsid w:val="00A6664A"/>
    <w:rsid w:val="00A667E8"/>
    <w:rsid w:val="00A66830"/>
    <w:rsid w:val="00A66A1F"/>
    <w:rsid w:val="00A66A2D"/>
    <w:rsid w:val="00A66E3F"/>
    <w:rsid w:val="00A67449"/>
    <w:rsid w:val="00A6751A"/>
    <w:rsid w:val="00A67596"/>
    <w:rsid w:val="00A67BDB"/>
    <w:rsid w:val="00A70218"/>
    <w:rsid w:val="00A707E0"/>
    <w:rsid w:val="00A70986"/>
    <w:rsid w:val="00A70B1E"/>
    <w:rsid w:val="00A70F4E"/>
    <w:rsid w:val="00A713A6"/>
    <w:rsid w:val="00A7154C"/>
    <w:rsid w:val="00A71A4E"/>
    <w:rsid w:val="00A720ED"/>
    <w:rsid w:val="00A7274D"/>
    <w:rsid w:val="00A728AA"/>
    <w:rsid w:val="00A72A19"/>
    <w:rsid w:val="00A72A68"/>
    <w:rsid w:val="00A72F11"/>
    <w:rsid w:val="00A732E8"/>
    <w:rsid w:val="00A732ED"/>
    <w:rsid w:val="00A733E6"/>
    <w:rsid w:val="00A739A8"/>
    <w:rsid w:val="00A739B8"/>
    <w:rsid w:val="00A73A49"/>
    <w:rsid w:val="00A73A6E"/>
    <w:rsid w:val="00A73B0C"/>
    <w:rsid w:val="00A73C53"/>
    <w:rsid w:val="00A73E4B"/>
    <w:rsid w:val="00A73FBA"/>
    <w:rsid w:val="00A74107"/>
    <w:rsid w:val="00A74132"/>
    <w:rsid w:val="00A741C0"/>
    <w:rsid w:val="00A74AE1"/>
    <w:rsid w:val="00A74C48"/>
    <w:rsid w:val="00A74DB5"/>
    <w:rsid w:val="00A751AB"/>
    <w:rsid w:val="00A75500"/>
    <w:rsid w:val="00A756D6"/>
    <w:rsid w:val="00A758C1"/>
    <w:rsid w:val="00A75A85"/>
    <w:rsid w:val="00A75D78"/>
    <w:rsid w:val="00A75FAD"/>
    <w:rsid w:val="00A76065"/>
    <w:rsid w:val="00A766BD"/>
    <w:rsid w:val="00A7685C"/>
    <w:rsid w:val="00A769EC"/>
    <w:rsid w:val="00A76D79"/>
    <w:rsid w:val="00A770A9"/>
    <w:rsid w:val="00A77122"/>
    <w:rsid w:val="00A773B1"/>
    <w:rsid w:val="00A775A8"/>
    <w:rsid w:val="00A77C0E"/>
    <w:rsid w:val="00A80033"/>
    <w:rsid w:val="00A80067"/>
    <w:rsid w:val="00A8025F"/>
    <w:rsid w:val="00A80397"/>
    <w:rsid w:val="00A804A0"/>
    <w:rsid w:val="00A80B55"/>
    <w:rsid w:val="00A80BEF"/>
    <w:rsid w:val="00A80CC9"/>
    <w:rsid w:val="00A810BB"/>
    <w:rsid w:val="00A811F1"/>
    <w:rsid w:val="00A81428"/>
    <w:rsid w:val="00A814B7"/>
    <w:rsid w:val="00A81B29"/>
    <w:rsid w:val="00A824CE"/>
    <w:rsid w:val="00A82A0C"/>
    <w:rsid w:val="00A82A4D"/>
    <w:rsid w:val="00A82F81"/>
    <w:rsid w:val="00A8339B"/>
    <w:rsid w:val="00A835C2"/>
    <w:rsid w:val="00A83CA4"/>
    <w:rsid w:val="00A84813"/>
    <w:rsid w:val="00A84990"/>
    <w:rsid w:val="00A849D1"/>
    <w:rsid w:val="00A84BCA"/>
    <w:rsid w:val="00A84D20"/>
    <w:rsid w:val="00A84D21"/>
    <w:rsid w:val="00A84E07"/>
    <w:rsid w:val="00A85ABC"/>
    <w:rsid w:val="00A85D85"/>
    <w:rsid w:val="00A85FDF"/>
    <w:rsid w:val="00A85FE7"/>
    <w:rsid w:val="00A86097"/>
    <w:rsid w:val="00A8647D"/>
    <w:rsid w:val="00A867D4"/>
    <w:rsid w:val="00A87950"/>
    <w:rsid w:val="00A87D58"/>
    <w:rsid w:val="00A87F21"/>
    <w:rsid w:val="00A90227"/>
    <w:rsid w:val="00A90E12"/>
    <w:rsid w:val="00A90E8E"/>
    <w:rsid w:val="00A90F6B"/>
    <w:rsid w:val="00A91658"/>
    <w:rsid w:val="00A91683"/>
    <w:rsid w:val="00A9190E"/>
    <w:rsid w:val="00A91B9C"/>
    <w:rsid w:val="00A92559"/>
    <w:rsid w:val="00A92699"/>
    <w:rsid w:val="00A92806"/>
    <w:rsid w:val="00A92AF2"/>
    <w:rsid w:val="00A92C6D"/>
    <w:rsid w:val="00A92FA3"/>
    <w:rsid w:val="00A93110"/>
    <w:rsid w:val="00A932FD"/>
    <w:rsid w:val="00A9335A"/>
    <w:rsid w:val="00A93701"/>
    <w:rsid w:val="00A93814"/>
    <w:rsid w:val="00A93970"/>
    <w:rsid w:val="00A939CE"/>
    <w:rsid w:val="00A93A5B"/>
    <w:rsid w:val="00A93D98"/>
    <w:rsid w:val="00A93E45"/>
    <w:rsid w:val="00A94329"/>
    <w:rsid w:val="00A94525"/>
    <w:rsid w:val="00A946C2"/>
    <w:rsid w:val="00A94857"/>
    <w:rsid w:val="00A9489B"/>
    <w:rsid w:val="00A948ED"/>
    <w:rsid w:val="00A9546F"/>
    <w:rsid w:val="00A9565C"/>
    <w:rsid w:val="00A95D0A"/>
    <w:rsid w:val="00A963B0"/>
    <w:rsid w:val="00A96765"/>
    <w:rsid w:val="00A96EC1"/>
    <w:rsid w:val="00A9766F"/>
    <w:rsid w:val="00A977B3"/>
    <w:rsid w:val="00A97B5A"/>
    <w:rsid w:val="00A97BE6"/>
    <w:rsid w:val="00A97ECC"/>
    <w:rsid w:val="00AA06E6"/>
    <w:rsid w:val="00AA0AB2"/>
    <w:rsid w:val="00AA0DBB"/>
    <w:rsid w:val="00AA0FD5"/>
    <w:rsid w:val="00AA11FD"/>
    <w:rsid w:val="00AA1469"/>
    <w:rsid w:val="00AA17F6"/>
    <w:rsid w:val="00AA23B9"/>
    <w:rsid w:val="00AA2D82"/>
    <w:rsid w:val="00AA2FE3"/>
    <w:rsid w:val="00AA3300"/>
    <w:rsid w:val="00AA3886"/>
    <w:rsid w:val="00AA3A05"/>
    <w:rsid w:val="00AA4195"/>
    <w:rsid w:val="00AA4416"/>
    <w:rsid w:val="00AA5928"/>
    <w:rsid w:val="00AA5ACD"/>
    <w:rsid w:val="00AA5B75"/>
    <w:rsid w:val="00AA5BA7"/>
    <w:rsid w:val="00AA6259"/>
    <w:rsid w:val="00AA68CD"/>
    <w:rsid w:val="00AA68CF"/>
    <w:rsid w:val="00AA6A49"/>
    <w:rsid w:val="00AA6B0C"/>
    <w:rsid w:val="00AA71B0"/>
    <w:rsid w:val="00AA75D0"/>
    <w:rsid w:val="00AB009A"/>
    <w:rsid w:val="00AB0130"/>
    <w:rsid w:val="00AB073E"/>
    <w:rsid w:val="00AB0AA3"/>
    <w:rsid w:val="00AB0B92"/>
    <w:rsid w:val="00AB0BFF"/>
    <w:rsid w:val="00AB0D2F"/>
    <w:rsid w:val="00AB0D3F"/>
    <w:rsid w:val="00AB12A5"/>
    <w:rsid w:val="00AB164E"/>
    <w:rsid w:val="00AB184C"/>
    <w:rsid w:val="00AB1F3D"/>
    <w:rsid w:val="00AB23BF"/>
    <w:rsid w:val="00AB2454"/>
    <w:rsid w:val="00AB2D0A"/>
    <w:rsid w:val="00AB30C8"/>
    <w:rsid w:val="00AB312D"/>
    <w:rsid w:val="00AB33B7"/>
    <w:rsid w:val="00AB37AC"/>
    <w:rsid w:val="00AB37C3"/>
    <w:rsid w:val="00AB38AB"/>
    <w:rsid w:val="00AB40C7"/>
    <w:rsid w:val="00AB40FA"/>
    <w:rsid w:val="00AB4BAB"/>
    <w:rsid w:val="00AB5023"/>
    <w:rsid w:val="00AB50C6"/>
    <w:rsid w:val="00AB56D5"/>
    <w:rsid w:val="00AB5E09"/>
    <w:rsid w:val="00AB62B2"/>
    <w:rsid w:val="00AB661F"/>
    <w:rsid w:val="00AB69E0"/>
    <w:rsid w:val="00AB6E18"/>
    <w:rsid w:val="00AB6EDF"/>
    <w:rsid w:val="00AB725D"/>
    <w:rsid w:val="00AB74E5"/>
    <w:rsid w:val="00AB78D5"/>
    <w:rsid w:val="00AB792D"/>
    <w:rsid w:val="00AB7ADB"/>
    <w:rsid w:val="00AC0EE4"/>
    <w:rsid w:val="00AC159A"/>
    <w:rsid w:val="00AC16C8"/>
    <w:rsid w:val="00AC16F6"/>
    <w:rsid w:val="00AC1CD7"/>
    <w:rsid w:val="00AC201D"/>
    <w:rsid w:val="00AC21FD"/>
    <w:rsid w:val="00AC2532"/>
    <w:rsid w:val="00AC27BF"/>
    <w:rsid w:val="00AC2BA3"/>
    <w:rsid w:val="00AC2F20"/>
    <w:rsid w:val="00AC3198"/>
    <w:rsid w:val="00AC3641"/>
    <w:rsid w:val="00AC38E0"/>
    <w:rsid w:val="00AC3E33"/>
    <w:rsid w:val="00AC437F"/>
    <w:rsid w:val="00AC4A30"/>
    <w:rsid w:val="00AC4C01"/>
    <w:rsid w:val="00AC4FED"/>
    <w:rsid w:val="00AC506E"/>
    <w:rsid w:val="00AC53BE"/>
    <w:rsid w:val="00AC556C"/>
    <w:rsid w:val="00AC55BC"/>
    <w:rsid w:val="00AC5685"/>
    <w:rsid w:val="00AC575D"/>
    <w:rsid w:val="00AC5A38"/>
    <w:rsid w:val="00AC5BA8"/>
    <w:rsid w:val="00AC5EED"/>
    <w:rsid w:val="00AC617F"/>
    <w:rsid w:val="00AC63CC"/>
    <w:rsid w:val="00AC666F"/>
    <w:rsid w:val="00AC6864"/>
    <w:rsid w:val="00AC68CB"/>
    <w:rsid w:val="00AC6D25"/>
    <w:rsid w:val="00AC7087"/>
    <w:rsid w:val="00AC78C8"/>
    <w:rsid w:val="00AD0344"/>
    <w:rsid w:val="00AD0396"/>
    <w:rsid w:val="00AD0EEF"/>
    <w:rsid w:val="00AD13C8"/>
    <w:rsid w:val="00AD17A5"/>
    <w:rsid w:val="00AD1C2A"/>
    <w:rsid w:val="00AD2179"/>
    <w:rsid w:val="00AD2995"/>
    <w:rsid w:val="00AD2EE6"/>
    <w:rsid w:val="00AD31B2"/>
    <w:rsid w:val="00AD3350"/>
    <w:rsid w:val="00AD39A3"/>
    <w:rsid w:val="00AD39A7"/>
    <w:rsid w:val="00AD3A81"/>
    <w:rsid w:val="00AD3D61"/>
    <w:rsid w:val="00AD3DDC"/>
    <w:rsid w:val="00AD4472"/>
    <w:rsid w:val="00AD4B1C"/>
    <w:rsid w:val="00AD4EF3"/>
    <w:rsid w:val="00AD5259"/>
    <w:rsid w:val="00AD5623"/>
    <w:rsid w:val="00AD59B8"/>
    <w:rsid w:val="00AD59F0"/>
    <w:rsid w:val="00AD5A22"/>
    <w:rsid w:val="00AD5C50"/>
    <w:rsid w:val="00AD5F99"/>
    <w:rsid w:val="00AD6127"/>
    <w:rsid w:val="00AD61E8"/>
    <w:rsid w:val="00AD6226"/>
    <w:rsid w:val="00AD67B9"/>
    <w:rsid w:val="00AD6AC7"/>
    <w:rsid w:val="00AD707D"/>
    <w:rsid w:val="00AD7587"/>
    <w:rsid w:val="00AD7C95"/>
    <w:rsid w:val="00AD7FBA"/>
    <w:rsid w:val="00AE02F3"/>
    <w:rsid w:val="00AE0499"/>
    <w:rsid w:val="00AE053C"/>
    <w:rsid w:val="00AE0668"/>
    <w:rsid w:val="00AE0A59"/>
    <w:rsid w:val="00AE120A"/>
    <w:rsid w:val="00AE15AC"/>
    <w:rsid w:val="00AE15FC"/>
    <w:rsid w:val="00AE1821"/>
    <w:rsid w:val="00AE1D5B"/>
    <w:rsid w:val="00AE22EA"/>
    <w:rsid w:val="00AE244F"/>
    <w:rsid w:val="00AE255B"/>
    <w:rsid w:val="00AE26CE"/>
    <w:rsid w:val="00AE26D9"/>
    <w:rsid w:val="00AE279A"/>
    <w:rsid w:val="00AE281E"/>
    <w:rsid w:val="00AE2D4C"/>
    <w:rsid w:val="00AE2EC2"/>
    <w:rsid w:val="00AE32C0"/>
    <w:rsid w:val="00AE3357"/>
    <w:rsid w:val="00AE3455"/>
    <w:rsid w:val="00AE3577"/>
    <w:rsid w:val="00AE3C43"/>
    <w:rsid w:val="00AE4324"/>
    <w:rsid w:val="00AE46BD"/>
    <w:rsid w:val="00AE550B"/>
    <w:rsid w:val="00AE5BC1"/>
    <w:rsid w:val="00AE5BF0"/>
    <w:rsid w:val="00AE625C"/>
    <w:rsid w:val="00AE628D"/>
    <w:rsid w:val="00AE6560"/>
    <w:rsid w:val="00AE656E"/>
    <w:rsid w:val="00AE68C0"/>
    <w:rsid w:val="00AE6C3E"/>
    <w:rsid w:val="00AE7459"/>
    <w:rsid w:val="00AE74C7"/>
    <w:rsid w:val="00AE77CF"/>
    <w:rsid w:val="00AE7C2D"/>
    <w:rsid w:val="00AE7DE4"/>
    <w:rsid w:val="00AF0263"/>
    <w:rsid w:val="00AF0494"/>
    <w:rsid w:val="00AF0D2D"/>
    <w:rsid w:val="00AF1194"/>
    <w:rsid w:val="00AF1406"/>
    <w:rsid w:val="00AF1707"/>
    <w:rsid w:val="00AF1A7B"/>
    <w:rsid w:val="00AF1D43"/>
    <w:rsid w:val="00AF1EBE"/>
    <w:rsid w:val="00AF2200"/>
    <w:rsid w:val="00AF2340"/>
    <w:rsid w:val="00AF261E"/>
    <w:rsid w:val="00AF26B0"/>
    <w:rsid w:val="00AF2910"/>
    <w:rsid w:val="00AF2BE9"/>
    <w:rsid w:val="00AF2CC6"/>
    <w:rsid w:val="00AF2E9B"/>
    <w:rsid w:val="00AF30E5"/>
    <w:rsid w:val="00AF3172"/>
    <w:rsid w:val="00AF3378"/>
    <w:rsid w:val="00AF4308"/>
    <w:rsid w:val="00AF5448"/>
    <w:rsid w:val="00AF5538"/>
    <w:rsid w:val="00AF5716"/>
    <w:rsid w:val="00AF5832"/>
    <w:rsid w:val="00AF58A0"/>
    <w:rsid w:val="00AF5915"/>
    <w:rsid w:val="00AF5F80"/>
    <w:rsid w:val="00AF6631"/>
    <w:rsid w:val="00AF6A6A"/>
    <w:rsid w:val="00AF6BF8"/>
    <w:rsid w:val="00AF71D7"/>
    <w:rsid w:val="00AF7365"/>
    <w:rsid w:val="00AF76F7"/>
    <w:rsid w:val="00AF7720"/>
    <w:rsid w:val="00AF781A"/>
    <w:rsid w:val="00AF78CB"/>
    <w:rsid w:val="00AF7C62"/>
    <w:rsid w:val="00AF7D94"/>
    <w:rsid w:val="00AF7DA0"/>
    <w:rsid w:val="00B001C0"/>
    <w:rsid w:val="00B0088C"/>
    <w:rsid w:val="00B00CBA"/>
    <w:rsid w:val="00B012CC"/>
    <w:rsid w:val="00B015A7"/>
    <w:rsid w:val="00B01AEA"/>
    <w:rsid w:val="00B01C10"/>
    <w:rsid w:val="00B01D1F"/>
    <w:rsid w:val="00B0201C"/>
    <w:rsid w:val="00B02464"/>
    <w:rsid w:val="00B025D2"/>
    <w:rsid w:val="00B025D7"/>
    <w:rsid w:val="00B02E1D"/>
    <w:rsid w:val="00B02F37"/>
    <w:rsid w:val="00B0383C"/>
    <w:rsid w:val="00B0397F"/>
    <w:rsid w:val="00B03AA1"/>
    <w:rsid w:val="00B03B06"/>
    <w:rsid w:val="00B03B31"/>
    <w:rsid w:val="00B04998"/>
    <w:rsid w:val="00B04FDE"/>
    <w:rsid w:val="00B0526D"/>
    <w:rsid w:val="00B0553F"/>
    <w:rsid w:val="00B0559C"/>
    <w:rsid w:val="00B055AD"/>
    <w:rsid w:val="00B0569C"/>
    <w:rsid w:val="00B0586E"/>
    <w:rsid w:val="00B0598F"/>
    <w:rsid w:val="00B05C3C"/>
    <w:rsid w:val="00B05C80"/>
    <w:rsid w:val="00B05F79"/>
    <w:rsid w:val="00B06BD3"/>
    <w:rsid w:val="00B070FD"/>
    <w:rsid w:val="00B07610"/>
    <w:rsid w:val="00B07C81"/>
    <w:rsid w:val="00B104C4"/>
    <w:rsid w:val="00B106E4"/>
    <w:rsid w:val="00B10891"/>
    <w:rsid w:val="00B10A1D"/>
    <w:rsid w:val="00B11049"/>
    <w:rsid w:val="00B110E8"/>
    <w:rsid w:val="00B112ED"/>
    <w:rsid w:val="00B113CE"/>
    <w:rsid w:val="00B115FB"/>
    <w:rsid w:val="00B11915"/>
    <w:rsid w:val="00B11993"/>
    <w:rsid w:val="00B11C98"/>
    <w:rsid w:val="00B11F5E"/>
    <w:rsid w:val="00B120ED"/>
    <w:rsid w:val="00B12B90"/>
    <w:rsid w:val="00B12D33"/>
    <w:rsid w:val="00B12E2B"/>
    <w:rsid w:val="00B1320C"/>
    <w:rsid w:val="00B138F0"/>
    <w:rsid w:val="00B13A2B"/>
    <w:rsid w:val="00B13A3E"/>
    <w:rsid w:val="00B13C79"/>
    <w:rsid w:val="00B14972"/>
    <w:rsid w:val="00B14994"/>
    <w:rsid w:val="00B14D47"/>
    <w:rsid w:val="00B152A8"/>
    <w:rsid w:val="00B152CC"/>
    <w:rsid w:val="00B15A77"/>
    <w:rsid w:val="00B15E62"/>
    <w:rsid w:val="00B15F86"/>
    <w:rsid w:val="00B164A3"/>
    <w:rsid w:val="00B16E15"/>
    <w:rsid w:val="00B16FA6"/>
    <w:rsid w:val="00B17069"/>
    <w:rsid w:val="00B171D7"/>
    <w:rsid w:val="00B175C9"/>
    <w:rsid w:val="00B179F4"/>
    <w:rsid w:val="00B17A01"/>
    <w:rsid w:val="00B17D67"/>
    <w:rsid w:val="00B2007A"/>
    <w:rsid w:val="00B201FC"/>
    <w:rsid w:val="00B2037C"/>
    <w:rsid w:val="00B204C0"/>
    <w:rsid w:val="00B2069C"/>
    <w:rsid w:val="00B2075D"/>
    <w:rsid w:val="00B2078A"/>
    <w:rsid w:val="00B20817"/>
    <w:rsid w:val="00B20FAB"/>
    <w:rsid w:val="00B21039"/>
    <w:rsid w:val="00B2119F"/>
    <w:rsid w:val="00B21B4D"/>
    <w:rsid w:val="00B22325"/>
    <w:rsid w:val="00B22362"/>
    <w:rsid w:val="00B2288C"/>
    <w:rsid w:val="00B22C5A"/>
    <w:rsid w:val="00B230CE"/>
    <w:rsid w:val="00B23328"/>
    <w:rsid w:val="00B2333D"/>
    <w:rsid w:val="00B23777"/>
    <w:rsid w:val="00B23E11"/>
    <w:rsid w:val="00B23EF4"/>
    <w:rsid w:val="00B23F3E"/>
    <w:rsid w:val="00B24013"/>
    <w:rsid w:val="00B24639"/>
    <w:rsid w:val="00B246E7"/>
    <w:rsid w:val="00B25017"/>
    <w:rsid w:val="00B25E54"/>
    <w:rsid w:val="00B26729"/>
    <w:rsid w:val="00B27022"/>
    <w:rsid w:val="00B273DE"/>
    <w:rsid w:val="00B275CE"/>
    <w:rsid w:val="00B276C1"/>
    <w:rsid w:val="00B27D80"/>
    <w:rsid w:val="00B302B2"/>
    <w:rsid w:val="00B30945"/>
    <w:rsid w:val="00B3111C"/>
    <w:rsid w:val="00B31488"/>
    <w:rsid w:val="00B31A90"/>
    <w:rsid w:val="00B3284A"/>
    <w:rsid w:val="00B32E63"/>
    <w:rsid w:val="00B32F70"/>
    <w:rsid w:val="00B335AA"/>
    <w:rsid w:val="00B33E7C"/>
    <w:rsid w:val="00B34081"/>
    <w:rsid w:val="00B34410"/>
    <w:rsid w:val="00B3449B"/>
    <w:rsid w:val="00B35174"/>
    <w:rsid w:val="00B3598C"/>
    <w:rsid w:val="00B36016"/>
    <w:rsid w:val="00B36058"/>
    <w:rsid w:val="00B364DE"/>
    <w:rsid w:val="00B366F2"/>
    <w:rsid w:val="00B36F83"/>
    <w:rsid w:val="00B372F3"/>
    <w:rsid w:val="00B37493"/>
    <w:rsid w:val="00B37498"/>
    <w:rsid w:val="00B37555"/>
    <w:rsid w:val="00B3764C"/>
    <w:rsid w:val="00B37B06"/>
    <w:rsid w:val="00B37B7E"/>
    <w:rsid w:val="00B37BA8"/>
    <w:rsid w:val="00B37E7B"/>
    <w:rsid w:val="00B40221"/>
    <w:rsid w:val="00B40585"/>
    <w:rsid w:val="00B40957"/>
    <w:rsid w:val="00B40F55"/>
    <w:rsid w:val="00B410DC"/>
    <w:rsid w:val="00B414E1"/>
    <w:rsid w:val="00B418CA"/>
    <w:rsid w:val="00B418D5"/>
    <w:rsid w:val="00B41B8F"/>
    <w:rsid w:val="00B41BEB"/>
    <w:rsid w:val="00B41D94"/>
    <w:rsid w:val="00B41F1B"/>
    <w:rsid w:val="00B4215D"/>
    <w:rsid w:val="00B422CB"/>
    <w:rsid w:val="00B42606"/>
    <w:rsid w:val="00B427FD"/>
    <w:rsid w:val="00B42A64"/>
    <w:rsid w:val="00B43187"/>
    <w:rsid w:val="00B43270"/>
    <w:rsid w:val="00B432A7"/>
    <w:rsid w:val="00B4394C"/>
    <w:rsid w:val="00B43B27"/>
    <w:rsid w:val="00B43D65"/>
    <w:rsid w:val="00B43F75"/>
    <w:rsid w:val="00B4423A"/>
    <w:rsid w:val="00B44439"/>
    <w:rsid w:val="00B45598"/>
    <w:rsid w:val="00B458E7"/>
    <w:rsid w:val="00B45B2F"/>
    <w:rsid w:val="00B45CBE"/>
    <w:rsid w:val="00B45CF5"/>
    <w:rsid w:val="00B45F67"/>
    <w:rsid w:val="00B4645C"/>
    <w:rsid w:val="00B4669F"/>
    <w:rsid w:val="00B46AC9"/>
    <w:rsid w:val="00B47184"/>
    <w:rsid w:val="00B4781F"/>
    <w:rsid w:val="00B47CF5"/>
    <w:rsid w:val="00B50080"/>
    <w:rsid w:val="00B50250"/>
    <w:rsid w:val="00B50BB9"/>
    <w:rsid w:val="00B50E7E"/>
    <w:rsid w:val="00B510E2"/>
    <w:rsid w:val="00B510FF"/>
    <w:rsid w:val="00B51274"/>
    <w:rsid w:val="00B514BD"/>
    <w:rsid w:val="00B5157C"/>
    <w:rsid w:val="00B517B7"/>
    <w:rsid w:val="00B51B04"/>
    <w:rsid w:val="00B51D3C"/>
    <w:rsid w:val="00B51F29"/>
    <w:rsid w:val="00B51F42"/>
    <w:rsid w:val="00B51FE4"/>
    <w:rsid w:val="00B5214D"/>
    <w:rsid w:val="00B52406"/>
    <w:rsid w:val="00B5248A"/>
    <w:rsid w:val="00B52572"/>
    <w:rsid w:val="00B5260F"/>
    <w:rsid w:val="00B530E6"/>
    <w:rsid w:val="00B53129"/>
    <w:rsid w:val="00B531C8"/>
    <w:rsid w:val="00B53436"/>
    <w:rsid w:val="00B53808"/>
    <w:rsid w:val="00B53BA2"/>
    <w:rsid w:val="00B546AE"/>
    <w:rsid w:val="00B54C85"/>
    <w:rsid w:val="00B54D0B"/>
    <w:rsid w:val="00B54E70"/>
    <w:rsid w:val="00B555EE"/>
    <w:rsid w:val="00B55853"/>
    <w:rsid w:val="00B55FDD"/>
    <w:rsid w:val="00B56008"/>
    <w:rsid w:val="00B560D4"/>
    <w:rsid w:val="00B564C2"/>
    <w:rsid w:val="00B56AA6"/>
    <w:rsid w:val="00B56C09"/>
    <w:rsid w:val="00B56C1A"/>
    <w:rsid w:val="00B578CF"/>
    <w:rsid w:val="00B57987"/>
    <w:rsid w:val="00B57CF4"/>
    <w:rsid w:val="00B6040A"/>
    <w:rsid w:val="00B61027"/>
    <w:rsid w:val="00B611E6"/>
    <w:rsid w:val="00B6138F"/>
    <w:rsid w:val="00B61421"/>
    <w:rsid w:val="00B61476"/>
    <w:rsid w:val="00B6184D"/>
    <w:rsid w:val="00B61D25"/>
    <w:rsid w:val="00B61EB4"/>
    <w:rsid w:val="00B621CA"/>
    <w:rsid w:val="00B62379"/>
    <w:rsid w:val="00B62557"/>
    <w:rsid w:val="00B628BC"/>
    <w:rsid w:val="00B6303C"/>
    <w:rsid w:val="00B632C7"/>
    <w:rsid w:val="00B632D6"/>
    <w:rsid w:val="00B63550"/>
    <w:rsid w:val="00B63638"/>
    <w:rsid w:val="00B63779"/>
    <w:rsid w:val="00B63EE4"/>
    <w:rsid w:val="00B64D37"/>
    <w:rsid w:val="00B64E67"/>
    <w:rsid w:val="00B6500C"/>
    <w:rsid w:val="00B6536F"/>
    <w:rsid w:val="00B6551D"/>
    <w:rsid w:val="00B65979"/>
    <w:rsid w:val="00B65D61"/>
    <w:rsid w:val="00B6608C"/>
    <w:rsid w:val="00B661D5"/>
    <w:rsid w:val="00B661FC"/>
    <w:rsid w:val="00B66400"/>
    <w:rsid w:val="00B6675B"/>
    <w:rsid w:val="00B673DC"/>
    <w:rsid w:val="00B67971"/>
    <w:rsid w:val="00B67AC8"/>
    <w:rsid w:val="00B67BBB"/>
    <w:rsid w:val="00B67BFD"/>
    <w:rsid w:val="00B7012A"/>
    <w:rsid w:val="00B70775"/>
    <w:rsid w:val="00B709A7"/>
    <w:rsid w:val="00B70AFC"/>
    <w:rsid w:val="00B7102A"/>
    <w:rsid w:val="00B71304"/>
    <w:rsid w:val="00B71321"/>
    <w:rsid w:val="00B71412"/>
    <w:rsid w:val="00B71700"/>
    <w:rsid w:val="00B71D98"/>
    <w:rsid w:val="00B725AC"/>
    <w:rsid w:val="00B72828"/>
    <w:rsid w:val="00B72C59"/>
    <w:rsid w:val="00B73AD1"/>
    <w:rsid w:val="00B74441"/>
    <w:rsid w:val="00B747F7"/>
    <w:rsid w:val="00B75212"/>
    <w:rsid w:val="00B754F9"/>
    <w:rsid w:val="00B7574A"/>
    <w:rsid w:val="00B757F7"/>
    <w:rsid w:val="00B75ABD"/>
    <w:rsid w:val="00B75C58"/>
    <w:rsid w:val="00B75D5E"/>
    <w:rsid w:val="00B760F8"/>
    <w:rsid w:val="00B762DF"/>
    <w:rsid w:val="00B765A7"/>
    <w:rsid w:val="00B76686"/>
    <w:rsid w:val="00B7673B"/>
    <w:rsid w:val="00B7677B"/>
    <w:rsid w:val="00B76867"/>
    <w:rsid w:val="00B7692D"/>
    <w:rsid w:val="00B76BC3"/>
    <w:rsid w:val="00B7714C"/>
    <w:rsid w:val="00B773E2"/>
    <w:rsid w:val="00B774AD"/>
    <w:rsid w:val="00B774B5"/>
    <w:rsid w:val="00B7751D"/>
    <w:rsid w:val="00B779AA"/>
    <w:rsid w:val="00B8056C"/>
    <w:rsid w:val="00B80BB0"/>
    <w:rsid w:val="00B81451"/>
    <w:rsid w:val="00B814A9"/>
    <w:rsid w:val="00B816EF"/>
    <w:rsid w:val="00B81A67"/>
    <w:rsid w:val="00B81C8C"/>
    <w:rsid w:val="00B81C93"/>
    <w:rsid w:val="00B81DC5"/>
    <w:rsid w:val="00B81F4F"/>
    <w:rsid w:val="00B82349"/>
    <w:rsid w:val="00B82C35"/>
    <w:rsid w:val="00B82D69"/>
    <w:rsid w:val="00B83518"/>
    <w:rsid w:val="00B83660"/>
    <w:rsid w:val="00B84091"/>
    <w:rsid w:val="00B84319"/>
    <w:rsid w:val="00B84376"/>
    <w:rsid w:val="00B84802"/>
    <w:rsid w:val="00B8549A"/>
    <w:rsid w:val="00B85ECA"/>
    <w:rsid w:val="00B86232"/>
    <w:rsid w:val="00B862A8"/>
    <w:rsid w:val="00B86441"/>
    <w:rsid w:val="00B867E9"/>
    <w:rsid w:val="00B86D8F"/>
    <w:rsid w:val="00B8710F"/>
    <w:rsid w:val="00B87288"/>
    <w:rsid w:val="00B872AC"/>
    <w:rsid w:val="00B87614"/>
    <w:rsid w:val="00B87944"/>
    <w:rsid w:val="00B87C86"/>
    <w:rsid w:val="00B87EAA"/>
    <w:rsid w:val="00B90A54"/>
    <w:rsid w:val="00B90D82"/>
    <w:rsid w:val="00B911C9"/>
    <w:rsid w:val="00B91512"/>
    <w:rsid w:val="00B91538"/>
    <w:rsid w:val="00B91598"/>
    <w:rsid w:val="00B91933"/>
    <w:rsid w:val="00B919C7"/>
    <w:rsid w:val="00B91BEC"/>
    <w:rsid w:val="00B91C30"/>
    <w:rsid w:val="00B9214A"/>
    <w:rsid w:val="00B92474"/>
    <w:rsid w:val="00B92A2A"/>
    <w:rsid w:val="00B931D8"/>
    <w:rsid w:val="00B93A2F"/>
    <w:rsid w:val="00B93A7B"/>
    <w:rsid w:val="00B94442"/>
    <w:rsid w:val="00B946AF"/>
    <w:rsid w:val="00B94A2B"/>
    <w:rsid w:val="00B94D57"/>
    <w:rsid w:val="00B9506B"/>
    <w:rsid w:val="00B95AA6"/>
    <w:rsid w:val="00B95F74"/>
    <w:rsid w:val="00B96043"/>
    <w:rsid w:val="00B960D6"/>
    <w:rsid w:val="00B9617D"/>
    <w:rsid w:val="00B96238"/>
    <w:rsid w:val="00B962DD"/>
    <w:rsid w:val="00B964AE"/>
    <w:rsid w:val="00B96593"/>
    <w:rsid w:val="00B966CD"/>
    <w:rsid w:val="00B9677C"/>
    <w:rsid w:val="00B975C5"/>
    <w:rsid w:val="00B97D2C"/>
    <w:rsid w:val="00BA0398"/>
    <w:rsid w:val="00BA0437"/>
    <w:rsid w:val="00BA04F6"/>
    <w:rsid w:val="00BA0529"/>
    <w:rsid w:val="00BA10C4"/>
    <w:rsid w:val="00BA10E9"/>
    <w:rsid w:val="00BA212A"/>
    <w:rsid w:val="00BA24D7"/>
    <w:rsid w:val="00BA2AEC"/>
    <w:rsid w:val="00BA31C1"/>
    <w:rsid w:val="00BA39D6"/>
    <w:rsid w:val="00BA3B0E"/>
    <w:rsid w:val="00BA4014"/>
    <w:rsid w:val="00BA45A8"/>
    <w:rsid w:val="00BA488D"/>
    <w:rsid w:val="00BA4AA3"/>
    <w:rsid w:val="00BA4BD9"/>
    <w:rsid w:val="00BA4DC3"/>
    <w:rsid w:val="00BA4E88"/>
    <w:rsid w:val="00BA5422"/>
    <w:rsid w:val="00BA5450"/>
    <w:rsid w:val="00BA5470"/>
    <w:rsid w:val="00BA5600"/>
    <w:rsid w:val="00BA5BBB"/>
    <w:rsid w:val="00BA602A"/>
    <w:rsid w:val="00BA6B84"/>
    <w:rsid w:val="00BA786A"/>
    <w:rsid w:val="00BB0ACC"/>
    <w:rsid w:val="00BB0B08"/>
    <w:rsid w:val="00BB0B71"/>
    <w:rsid w:val="00BB1AD4"/>
    <w:rsid w:val="00BB1B1E"/>
    <w:rsid w:val="00BB1F32"/>
    <w:rsid w:val="00BB206B"/>
    <w:rsid w:val="00BB250C"/>
    <w:rsid w:val="00BB2D8A"/>
    <w:rsid w:val="00BB2F6E"/>
    <w:rsid w:val="00BB2F9B"/>
    <w:rsid w:val="00BB3104"/>
    <w:rsid w:val="00BB3115"/>
    <w:rsid w:val="00BB31AE"/>
    <w:rsid w:val="00BB380F"/>
    <w:rsid w:val="00BB3932"/>
    <w:rsid w:val="00BB39F6"/>
    <w:rsid w:val="00BB3C41"/>
    <w:rsid w:val="00BB3D95"/>
    <w:rsid w:val="00BB3F1B"/>
    <w:rsid w:val="00BB454F"/>
    <w:rsid w:val="00BB456C"/>
    <w:rsid w:val="00BB4689"/>
    <w:rsid w:val="00BB469E"/>
    <w:rsid w:val="00BB4945"/>
    <w:rsid w:val="00BB49C6"/>
    <w:rsid w:val="00BB4B5D"/>
    <w:rsid w:val="00BB4CA9"/>
    <w:rsid w:val="00BB4E26"/>
    <w:rsid w:val="00BB5135"/>
    <w:rsid w:val="00BB5D75"/>
    <w:rsid w:val="00BB5DE1"/>
    <w:rsid w:val="00BB6570"/>
    <w:rsid w:val="00BB686B"/>
    <w:rsid w:val="00BB6C60"/>
    <w:rsid w:val="00BB6D31"/>
    <w:rsid w:val="00BB737F"/>
    <w:rsid w:val="00BB74EA"/>
    <w:rsid w:val="00BB7678"/>
    <w:rsid w:val="00BB7C18"/>
    <w:rsid w:val="00BC03C3"/>
    <w:rsid w:val="00BC0544"/>
    <w:rsid w:val="00BC066A"/>
    <w:rsid w:val="00BC098F"/>
    <w:rsid w:val="00BC0D5C"/>
    <w:rsid w:val="00BC0FA3"/>
    <w:rsid w:val="00BC111C"/>
    <w:rsid w:val="00BC1642"/>
    <w:rsid w:val="00BC187A"/>
    <w:rsid w:val="00BC1EC3"/>
    <w:rsid w:val="00BC1FD4"/>
    <w:rsid w:val="00BC2894"/>
    <w:rsid w:val="00BC342F"/>
    <w:rsid w:val="00BC3574"/>
    <w:rsid w:val="00BC36E9"/>
    <w:rsid w:val="00BC3B10"/>
    <w:rsid w:val="00BC425E"/>
    <w:rsid w:val="00BC44C3"/>
    <w:rsid w:val="00BC4AF2"/>
    <w:rsid w:val="00BC4F20"/>
    <w:rsid w:val="00BC4FDD"/>
    <w:rsid w:val="00BC519B"/>
    <w:rsid w:val="00BC5B8C"/>
    <w:rsid w:val="00BC5C6A"/>
    <w:rsid w:val="00BC5E0C"/>
    <w:rsid w:val="00BC5EE9"/>
    <w:rsid w:val="00BC64E8"/>
    <w:rsid w:val="00BC654F"/>
    <w:rsid w:val="00BC66A7"/>
    <w:rsid w:val="00BC66ED"/>
    <w:rsid w:val="00BC6798"/>
    <w:rsid w:val="00BC6A28"/>
    <w:rsid w:val="00BC71A4"/>
    <w:rsid w:val="00BC71FD"/>
    <w:rsid w:val="00BC747A"/>
    <w:rsid w:val="00BC78EC"/>
    <w:rsid w:val="00BC798E"/>
    <w:rsid w:val="00BC7CED"/>
    <w:rsid w:val="00BC7D44"/>
    <w:rsid w:val="00BD0414"/>
    <w:rsid w:val="00BD06BD"/>
    <w:rsid w:val="00BD0C2E"/>
    <w:rsid w:val="00BD1023"/>
    <w:rsid w:val="00BD1058"/>
    <w:rsid w:val="00BD15A0"/>
    <w:rsid w:val="00BD1870"/>
    <w:rsid w:val="00BD2324"/>
    <w:rsid w:val="00BD2EE1"/>
    <w:rsid w:val="00BD3094"/>
    <w:rsid w:val="00BD30A3"/>
    <w:rsid w:val="00BD354F"/>
    <w:rsid w:val="00BD3CA7"/>
    <w:rsid w:val="00BD4007"/>
    <w:rsid w:val="00BD40C0"/>
    <w:rsid w:val="00BD4142"/>
    <w:rsid w:val="00BD4A8C"/>
    <w:rsid w:val="00BD514D"/>
    <w:rsid w:val="00BD52BC"/>
    <w:rsid w:val="00BD54DE"/>
    <w:rsid w:val="00BD5D57"/>
    <w:rsid w:val="00BD6021"/>
    <w:rsid w:val="00BD64A3"/>
    <w:rsid w:val="00BD6852"/>
    <w:rsid w:val="00BD6EC6"/>
    <w:rsid w:val="00BD7127"/>
    <w:rsid w:val="00BD743F"/>
    <w:rsid w:val="00BD75C1"/>
    <w:rsid w:val="00BD766E"/>
    <w:rsid w:val="00BD7695"/>
    <w:rsid w:val="00BD7CA1"/>
    <w:rsid w:val="00BD7DC8"/>
    <w:rsid w:val="00BD7ECE"/>
    <w:rsid w:val="00BD7F58"/>
    <w:rsid w:val="00BE01D5"/>
    <w:rsid w:val="00BE041B"/>
    <w:rsid w:val="00BE0965"/>
    <w:rsid w:val="00BE0BD9"/>
    <w:rsid w:val="00BE0C46"/>
    <w:rsid w:val="00BE0E02"/>
    <w:rsid w:val="00BE15FE"/>
    <w:rsid w:val="00BE17F2"/>
    <w:rsid w:val="00BE2B8F"/>
    <w:rsid w:val="00BE2C11"/>
    <w:rsid w:val="00BE2CE7"/>
    <w:rsid w:val="00BE2E52"/>
    <w:rsid w:val="00BE2F5B"/>
    <w:rsid w:val="00BE3017"/>
    <w:rsid w:val="00BE3BC3"/>
    <w:rsid w:val="00BE3CAA"/>
    <w:rsid w:val="00BE4239"/>
    <w:rsid w:val="00BE4248"/>
    <w:rsid w:val="00BE44CA"/>
    <w:rsid w:val="00BE48A1"/>
    <w:rsid w:val="00BE550B"/>
    <w:rsid w:val="00BE5560"/>
    <w:rsid w:val="00BE5710"/>
    <w:rsid w:val="00BE5BE4"/>
    <w:rsid w:val="00BE5DBC"/>
    <w:rsid w:val="00BE5E88"/>
    <w:rsid w:val="00BE5EF3"/>
    <w:rsid w:val="00BE615C"/>
    <w:rsid w:val="00BE6378"/>
    <w:rsid w:val="00BE6E19"/>
    <w:rsid w:val="00BE6E29"/>
    <w:rsid w:val="00BE6F09"/>
    <w:rsid w:val="00BE770C"/>
    <w:rsid w:val="00BE7966"/>
    <w:rsid w:val="00BF02BC"/>
    <w:rsid w:val="00BF0BB0"/>
    <w:rsid w:val="00BF109E"/>
    <w:rsid w:val="00BF14C6"/>
    <w:rsid w:val="00BF197B"/>
    <w:rsid w:val="00BF1E21"/>
    <w:rsid w:val="00BF1EA6"/>
    <w:rsid w:val="00BF2450"/>
    <w:rsid w:val="00BF257B"/>
    <w:rsid w:val="00BF2587"/>
    <w:rsid w:val="00BF2612"/>
    <w:rsid w:val="00BF28D1"/>
    <w:rsid w:val="00BF2C65"/>
    <w:rsid w:val="00BF33E6"/>
    <w:rsid w:val="00BF3572"/>
    <w:rsid w:val="00BF3616"/>
    <w:rsid w:val="00BF3643"/>
    <w:rsid w:val="00BF3D3A"/>
    <w:rsid w:val="00BF401E"/>
    <w:rsid w:val="00BF43E1"/>
    <w:rsid w:val="00BF44E1"/>
    <w:rsid w:val="00BF45FC"/>
    <w:rsid w:val="00BF4773"/>
    <w:rsid w:val="00BF521C"/>
    <w:rsid w:val="00BF5A53"/>
    <w:rsid w:val="00BF5E7B"/>
    <w:rsid w:val="00BF5FD8"/>
    <w:rsid w:val="00BF6091"/>
    <w:rsid w:val="00BF6232"/>
    <w:rsid w:val="00BF629C"/>
    <w:rsid w:val="00BF64D4"/>
    <w:rsid w:val="00BF679F"/>
    <w:rsid w:val="00BF6CE3"/>
    <w:rsid w:val="00BF705C"/>
    <w:rsid w:val="00BF76BA"/>
    <w:rsid w:val="00BF7CEC"/>
    <w:rsid w:val="00C00254"/>
    <w:rsid w:val="00C002BC"/>
    <w:rsid w:val="00C0057C"/>
    <w:rsid w:val="00C00722"/>
    <w:rsid w:val="00C00E98"/>
    <w:rsid w:val="00C0158B"/>
    <w:rsid w:val="00C01594"/>
    <w:rsid w:val="00C01607"/>
    <w:rsid w:val="00C01991"/>
    <w:rsid w:val="00C01CD2"/>
    <w:rsid w:val="00C01CE1"/>
    <w:rsid w:val="00C01E35"/>
    <w:rsid w:val="00C0228D"/>
    <w:rsid w:val="00C02B53"/>
    <w:rsid w:val="00C02DAB"/>
    <w:rsid w:val="00C02E27"/>
    <w:rsid w:val="00C030B1"/>
    <w:rsid w:val="00C0352F"/>
    <w:rsid w:val="00C038C6"/>
    <w:rsid w:val="00C03916"/>
    <w:rsid w:val="00C039BB"/>
    <w:rsid w:val="00C039EA"/>
    <w:rsid w:val="00C03A39"/>
    <w:rsid w:val="00C03F45"/>
    <w:rsid w:val="00C044AF"/>
    <w:rsid w:val="00C045BC"/>
    <w:rsid w:val="00C045C8"/>
    <w:rsid w:val="00C04681"/>
    <w:rsid w:val="00C0471F"/>
    <w:rsid w:val="00C04981"/>
    <w:rsid w:val="00C04DC6"/>
    <w:rsid w:val="00C04EF1"/>
    <w:rsid w:val="00C04F56"/>
    <w:rsid w:val="00C04FF5"/>
    <w:rsid w:val="00C052EA"/>
    <w:rsid w:val="00C05348"/>
    <w:rsid w:val="00C059CB"/>
    <w:rsid w:val="00C063D8"/>
    <w:rsid w:val="00C06E21"/>
    <w:rsid w:val="00C06E40"/>
    <w:rsid w:val="00C071E9"/>
    <w:rsid w:val="00C07B3D"/>
    <w:rsid w:val="00C07E75"/>
    <w:rsid w:val="00C07F67"/>
    <w:rsid w:val="00C07FC3"/>
    <w:rsid w:val="00C100AC"/>
    <w:rsid w:val="00C100F4"/>
    <w:rsid w:val="00C10242"/>
    <w:rsid w:val="00C1029C"/>
    <w:rsid w:val="00C10C28"/>
    <w:rsid w:val="00C11195"/>
    <w:rsid w:val="00C11872"/>
    <w:rsid w:val="00C1193A"/>
    <w:rsid w:val="00C11A8A"/>
    <w:rsid w:val="00C11BDA"/>
    <w:rsid w:val="00C11C20"/>
    <w:rsid w:val="00C11C98"/>
    <w:rsid w:val="00C125DC"/>
    <w:rsid w:val="00C12685"/>
    <w:rsid w:val="00C12B10"/>
    <w:rsid w:val="00C12D14"/>
    <w:rsid w:val="00C134AA"/>
    <w:rsid w:val="00C13647"/>
    <w:rsid w:val="00C136D7"/>
    <w:rsid w:val="00C139C9"/>
    <w:rsid w:val="00C139F5"/>
    <w:rsid w:val="00C13F7E"/>
    <w:rsid w:val="00C141F0"/>
    <w:rsid w:val="00C144D9"/>
    <w:rsid w:val="00C1471D"/>
    <w:rsid w:val="00C14746"/>
    <w:rsid w:val="00C14833"/>
    <w:rsid w:val="00C15176"/>
    <w:rsid w:val="00C15D72"/>
    <w:rsid w:val="00C165AD"/>
    <w:rsid w:val="00C16820"/>
    <w:rsid w:val="00C16921"/>
    <w:rsid w:val="00C16F2C"/>
    <w:rsid w:val="00C16F8B"/>
    <w:rsid w:val="00C16FAD"/>
    <w:rsid w:val="00C17038"/>
    <w:rsid w:val="00C1708A"/>
    <w:rsid w:val="00C17655"/>
    <w:rsid w:val="00C17F64"/>
    <w:rsid w:val="00C17FA5"/>
    <w:rsid w:val="00C20033"/>
    <w:rsid w:val="00C20133"/>
    <w:rsid w:val="00C2044D"/>
    <w:rsid w:val="00C205C6"/>
    <w:rsid w:val="00C20A4C"/>
    <w:rsid w:val="00C20E39"/>
    <w:rsid w:val="00C20E43"/>
    <w:rsid w:val="00C21065"/>
    <w:rsid w:val="00C217F6"/>
    <w:rsid w:val="00C21E31"/>
    <w:rsid w:val="00C220FB"/>
    <w:rsid w:val="00C2232E"/>
    <w:rsid w:val="00C22418"/>
    <w:rsid w:val="00C22A96"/>
    <w:rsid w:val="00C22BD5"/>
    <w:rsid w:val="00C22ED5"/>
    <w:rsid w:val="00C22F22"/>
    <w:rsid w:val="00C22F50"/>
    <w:rsid w:val="00C23049"/>
    <w:rsid w:val="00C230E3"/>
    <w:rsid w:val="00C23143"/>
    <w:rsid w:val="00C233C4"/>
    <w:rsid w:val="00C23839"/>
    <w:rsid w:val="00C23C08"/>
    <w:rsid w:val="00C23D43"/>
    <w:rsid w:val="00C241F7"/>
    <w:rsid w:val="00C2451A"/>
    <w:rsid w:val="00C24532"/>
    <w:rsid w:val="00C246E5"/>
    <w:rsid w:val="00C2493D"/>
    <w:rsid w:val="00C24C23"/>
    <w:rsid w:val="00C25503"/>
    <w:rsid w:val="00C25850"/>
    <w:rsid w:val="00C25CAF"/>
    <w:rsid w:val="00C25DB0"/>
    <w:rsid w:val="00C25F5D"/>
    <w:rsid w:val="00C26189"/>
    <w:rsid w:val="00C26333"/>
    <w:rsid w:val="00C30284"/>
    <w:rsid w:val="00C302E9"/>
    <w:rsid w:val="00C30929"/>
    <w:rsid w:val="00C30EDA"/>
    <w:rsid w:val="00C312CD"/>
    <w:rsid w:val="00C316E1"/>
    <w:rsid w:val="00C31DDB"/>
    <w:rsid w:val="00C320BF"/>
    <w:rsid w:val="00C32B41"/>
    <w:rsid w:val="00C32F6B"/>
    <w:rsid w:val="00C3309E"/>
    <w:rsid w:val="00C333E7"/>
    <w:rsid w:val="00C33610"/>
    <w:rsid w:val="00C339BA"/>
    <w:rsid w:val="00C33A18"/>
    <w:rsid w:val="00C33CB4"/>
    <w:rsid w:val="00C33EEC"/>
    <w:rsid w:val="00C340B8"/>
    <w:rsid w:val="00C34E34"/>
    <w:rsid w:val="00C3533A"/>
    <w:rsid w:val="00C35A2F"/>
    <w:rsid w:val="00C35C16"/>
    <w:rsid w:val="00C36045"/>
    <w:rsid w:val="00C362C5"/>
    <w:rsid w:val="00C36C96"/>
    <w:rsid w:val="00C37266"/>
    <w:rsid w:val="00C3778F"/>
    <w:rsid w:val="00C3796C"/>
    <w:rsid w:val="00C37B33"/>
    <w:rsid w:val="00C4027B"/>
    <w:rsid w:val="00C4027D"/>
    <w:rsid w:val="00C405C8"/>
    <w:rsid w:val="00C40AE2"/>
    <w:rsid w:val="00C4102B"/>
    <w:rsid w:val="00C41412"/>
    <w:rsid w:val="00C42215"/>
    <w:rsid w:val="00C42449"/>
    <w:rsid w:val="00C4281E"/>
    <w:rsid w:val="00C42848"/>
    <w:rsid w:val="00C42EB4"/>
    <w:rsid w:val="00C430C4"/>
    <w:rsid w:val="00C4340A"/>
    <w:rsid w:val="00C434C8"/>
    <w:rsid w:val="00C43529"/>
    <w:rsid w:val="00C43665"/>
    <w:rsid w:val="00C4392C"/>
    <w:rsid w:val="00C43BAC"/>
    <w:rsid w:val="00C43C77"/>
    <w:rsid w:val="00C440AB"/>
    <w:rsid w:val="00C444EF"/>
    <w:rsid w:val="00C44809"/>
    <w:rsid w:val="00C44B11"/>
    <w:rsid w:val="00C4553D"/>
    <w:rsid w:val="00C45C2F"/>
    <w:rsid w:val="00C45C32"/>
    <w:rsid w:val="00C45C43"/>
    <w:rsid w:val="00C45D15"/>
    <w:rsid w:val="00C46458"/>
    <w:rsid w:val="00C465AB"/>
    <w:rsid w:val="00C46ACC"/>
    <w:rsid w:val="00C46BCE"/>
    <w:rsid w:val="00C46C11"/>
    <w:rsid w:val="00C4736A"/>
    <w:rsid w:val="00C47D76"/>
    <w:rsid w:val="00C5024F"/>
    <w:rsid w:val="00C5037E"/>
    <w:rsid w:val="00C50463"/>
    <w:rsid w:val="00C5125F"/>
    <w:rsid w:val="00C518A8"/>
    <w:rsid w:val="00C51C12"/>
    <w:rsid w:val="00C52655"/>
    <w:rsid w:val="00C52888"/>
    <w:rsid w:val="00C5293B"/>
    <w:rsid w:val="00C52A93"/>
    <w:rsid w:val="00C52C34"/>
    <w:rsid w:val="00C52F39"/>
    <w:rsid w:val="00C53254"/>
    <w:rsid w:val="00C53840"/>
    <w:rsid w:val="00C53B7D"/>
    <w:rsid w:val="00C53B87"/>
    <w:rsid w:val="00C53DBC"/>
    <w:rsid w:val="00C53F45"/>
    <w:rsid w:val="00C54451"/>
    <w:rsid w:val="00C5447D"/>
    <w:rsid w:val="00C54769"/>
    <w:rsid w:val="00C54AC1"/>
    <w:rsid w:val="00C55127"/>
    <w:rsid w:val="00C5521C"/>
    <w:rsid w:val="00C5535E"/>
    <w:rsid w:val="00C55751"/>
    <w:rsid w:val="00C55D26"/>
    <w:rsid w:val="00C56218"/>
    <w:rsid w:val="00C56429"/>
    <w:rsid w:val="00C569E7"/>
    <w:rsid w:val="00C56B6B"/>
    <w:rsid w:val="00C57C61"/>
    <w:rsid w:val="00C603E2"/>
    <w:rsid w:val="00C60A1C"/>
    <w:rsid w:val="00C60DAE"/>
    <w:rsid w:val="00C610E5"/>
    <w:rsid w:val="00C62003"/>
    <w:rsid w:val="00C62280"/>
    <w:rsid w:val="00C622E4"/>
    <w:rsid w:val="00C625BA"/>
    <w:rsid w:val="00C62635"/>
    <w:rsid w:val="00C62674"/>
    <w:rsid w:val="00C626D6"/>
    <w:rsid w:val="00C6270B"/>
    <w:rsid w:val="00C628AC"/>
    <w:rsid w:val="00C62D34"/>
    <w:rsid w:val="00C62D86"/>
    <w:rsid w:val="00C6351F"/>
    <w:rsid w:val="00C641ED"/>
    <w:rsid w:val="00C644E8"/>
    <w:rsid w:val="00C64779"/>
    <w:rsid w:val="00C647C8"/>
    <w:rsid w:val="00C64919"/>
    <w:rsid w:val="00C6499A"/>
    <w:rsid w:val="00C64A3B"/>
    <w:rsid w:val="00C64D7E"/>
    <w:rsid w:val="00C64E79"/>
    <w:rsid w:val="00C652AB"/>
    <w:rsid w:val="00C653F1"/>
    <w:rsid w:val="00C656AB"/>
    <w:rsid w:val="00C65CCB"/>
    <w:rsid w:val="00C65CD8"/>
    <w:rsid w:val="00C65DD9"/>
    <w:rsid w:val="00C65E37"/>
    <w:rsid w:val="00C65E4D"/>
    <w:rsid w:val="00C665D4"/>
    <w:rsid w:val="00C66974"/>
    <w:rsid w:val="00C669E7"/>
    <w:rsid w:val="00C66DFA"/>
    <w:rsid w:val="00C67034"/>
    <w:rsid w:val="00C674D9"/>
    <w:rsid w:val="00C675F7"/>
    <w:rsid w:val="00C679C3"/>
    <w:rsid w:val="00C67B22"/>
    <w:rsid w:val="00C67B2C"/>
    <w:rsid w:val="00C67CF5"/>
    <w:rsid w:val="00C67F06"/>
    <w:rsid w:val="00C70105"/>
    <w:rsid w:val="00C70672"/>
    <w:rsid w:val="00C708F5"/>
    <w:rsid w:val="00C710CC"/>
    <w:rsid w:val="00C710E6"/>
    <w:rsid w:val="00C71169"/>
    <w:rsid w:val="00C71384"/>
    <w:rsid w:val="00C7152F"/>
    <w:rsid w:val="00C71B90"/>
    <w:rsid w:val="00C7212D"/>
    <w:rsid w:val="00C7228E"/>
    <w:rsid w:val="00C72310"/>
    <w:rsid w:val="00C723A4"/>
    <w:rsid w:val="00C7261A"/>
    <w:rsid w:val="00C727A8"/>
    <w:rsid w:val="00C72B52"/>
    <w:rsid w:val="00C7307C"/>
    <w:rsid w:val="00C737F0"/>
    <w:rsid w:val="00C738A1"/>
    <w:rsid w:val="00C73B81"/>
    <w:rsid w:val="00C73B88"/>
    <w:rsid w:val="00C7425F"/>
    <w:rsid w:val="00C747E1"/>
    <w:rsid w:val="00C749A5"/>
    <w:rsid w:val="00C74BD6"/>
    <w:rsid w:val="00C74CFD"/>
    <w:rsid w:val="00C75705"/>
    <w:rsid w:val="00C75AED"/>
    <w:rsid w:val="00C76429"/>
    <w:rsid w:val="00C76483"/>
    <w:rsid w:val="00C76A3E"/>
    <w:rsid w:val="00C76C56"/>
    <w:rsid w:val="00C770CF"/>
    <w:rsid w:val="00C7710F"/>
    <w:rsid w:val="00C7729D"/>
    <w:rsid w:val="00C77CB1"/>
    <w:rsid w:val="00C805D0"/>
    <w:rsid w:val="00C80BE8"/>
    <w:rsid w:val="00C81380"/>
    <w:rsid w:val="00C81C80"/>
    <w:rsid w:val="00C82002"/>
    <w:rsid w:val="00C82221"/>
    <w:rsid w:val="00C8263E"/>
    <w:rsid w:val="00C828E6"/>
    <w:rsid w:val="00C82D1A"/>
    <w:rsid w:val="00C82ECC"/>
    <w:rsid w:val="00C8338B"/>
    <w:rsid w:val="00C8378C"/>
    <w:rsid w:val="00C83FDE"/>
    <w:rsid w:val="00C84082"/>
    <w:rsid w:val="00C8435F"/>
    <w:rsid w:val="00C843B5"/>
    <w:rsid w:val="00C844F3"/>
    <w:rsid w:val="00C84547"/>
    <w:rsid w:val="00C84922"/>
    <w:rsid w:val="00C84995"/>
    <w:rsid w:val="00C85154"/>
    <w:rsid w:val="00C86666"/>
    <w:rsid w:val="00C8723D"/>
    <w:rsid w:val="00C87417"/>
    <w:rsid w:val="00C8777A"/>
    <w:rsid w:val="00C879E3"/>
    <w:rsid w:val="00C87EE9"/>
    <w:rsid w:val="00C903BD"/>
    <w:rsid w:val="00C903FC"/>
    <w:rsid w:val="00C90A19"/>
    <w:rsid w:val="00C90A3E"/>
    <w:rsid w:val="00C91009"/>
    <w:rsid w:val="00C91932"/>
    <w:rsid w:val="00C9198D"/>
    <w:rsid w:val="00C91B27"/>
    <w:rsid w:val="00C91C0D"/>
    <w:rsid w:val="00C924CE"/>
    <w:rsid w:val="00C92802"/>
    <w:rsid w:val="00C92915"/>
    <w:rsid w:val="00C92B7C"/>
    <w:rsid w:val="00C92EF9"/>
    <w:rsid w:val="00C92F49"/>
    <w:rsid w:val="00C92F4F"/>
    <w:rsid w:val="00C932E5"/>
    <w:rsid w:val="00C9365B"/>
    <w:rsid w:val="00C93A0D"/>
    <w:rsid w:val="00C93AD6"/>
    <w:rsid w:val="00C93C44"/>
    <w:rsid w:val="00C93F96"/>
    <w:rsid w:val="00C9452C"/>
    <w:rsid w:val="00C94709"/>
    <w:rsid w:val="00C94D6D"/>
    <w:rsid w:val="00C94FEB"/>
    <w:rsid w:val="00C950D6"/>
    <w:rsid w:val="00C95479"/>
    <w:rsid w:val="00C9566A"/>
    <w:rsid w:val="00C95A53"/>
    <w:rsid w:val="00C95DEB"/>
    <w:rsid w:val="00C961DC"/>
    <w:rsid w:val="00C96520"/>
    <w:rsid w:val="00C96981"/>
    <w:rsid w:val="00C97BDA"/>
    <w:rsid w:val="00CA00B7"/>
    <w:rsid w:val="00CA0550"/>
    <w:rsid w:val="00CA0746"/>
    <w:rsid w:val="00CA098E"/>
    <w:rsid w:val="00CA15F8"/>
    <w:rsid w:val="00CA1E56"/>
    <w:rsid w:val="00CA1E95"/>
    <w:rsid w:val="00CA278B"/>
    <w:rsid w:val="00CA2DC9"/>
    <w:rsid w:val="00CA3062"/>
    <w:rsid w:val="00CA3172"/>
    <w:rsid w:val="00CA3557"/>
    <w:rsid w:val="00CA359C"/>
    <w:rsid w:val="00CA365B"/>
    <w:rsid w:val="00CA4946"/>
    <w:rsid w:val="00CA4B6F"/>
    <w:rsid w:val="00CA54DE"/>
    <w:rsid w:val="00CA5744"/>
    <w:rsid w:val="00CA57D0"/>
    <w:rsid w:val="00CA66CA"/>
    <w:rsid w:val="00CA67DE"/>
    <w:rsid w:val="00CA690B"/>
    <w:rsid w:val="00CA6ADD"/>
    <w:rsid w:val="00CA71B3"/>
    <w:rsid w:val="00CA7365"/>
    <w:rsid w:val="00CA7510"/>
    <w:rsid w:val="00CA7786"/>
    <w:rsid w:val="00CA7800"/>
    <w:rsid w:val="00CA7CA4"/>
    <w:rsid w:val="00CB08EE"/>
    <w:rsid w:val="00CB0C34"/>
    <w:rsid w:val="00CB0F26"/>
    <w:rsid w:val="00CB13B5"/>
    <w:rsid w:val="00CB19B1"/>
    <w:rsid w:val="00CB20D6"/>
    <w:rsid w:val="00CB2251"/>
    <w:rsid w:val="00CB2730"/>
    <w:rsid w:val="00CB28BC"/>
    <w:rsid w:val="00CB29E3"/>
    <w:rsid w:val="00CB2CFF"/>
    <w:rsid w:val="00CB338D"/>
    <w:rsid w:val="00CB344E"/>
    <w:rsid w:val="00CB380E"/>
    <w:rsid w:val="00CB38AF"/>
    <w:rsid w:val="00CB392C"/>
    <w:rsid w:val="00CB40E0"/>
    <w:rsid w:val="00CB4118"/>
    <w:rsid w:val="00CB42D1"/>
    <w:rsid w:val="00CB4338"/>
    <w:rsid w:val="00CB4502"/>
    <w:rsid w:val="00CB4C71"/>
    <w:rsid w:val="00CB4D5C"/>
    <w:rsid w:val="00CB4D61"/>
    <w:rsid w:val="00CB4D65"/>
    <w:rsid w:val="00CB5247"/>
    <w:rsid w:val="00CB548B"/>
    <w:rsid w:val="00CB5B9D"/>
    <w:rsid w:val="00CB5DC5"/>
    <w:rsid w:val="00CB5E8F"/>
    <w:rsid w:val="00CB6608"/>
    <w:rsid w:val="00CB6975"/>
    <w:rsid w:val="00CB6ACA"/>
    <w:rsid w:val="00CB6F16"/>
    <w:rsid w:val="00CB6F18"/>
    <w:rsid w:val="00CB7263"/>
    <w:rsid w:val="00CB7AEF"/>
    <w:rsid w:val="00CB7CF4"/>
    <w:rsid w:val="00CB7E17"/>
    <w:rsid w:val="00CB7E7B"/>
    <w:rsid w:val="00CB7EF5"/>
    <w:rsid w:val="00CC00C8"/>
    <w:rsid w:val="00CC0818"/>
    <w:rsid w:val="00CC0D67"/>
    <w:rsid w:val="00CC0F76"/>
    <w:rsid w:val="00CC1040"/>
    <w:rsid w:val="00CC104E"/>
    <w:rsid w:val="00CC1725"/>
    <w:rsid w:val="00CC1E4F"/>
    <w:rsid w:val="00CC1FA9"/>
    <w:rsid w:val="00CC223D"/>
    <w:rsid w:val="00CC24D8"/>
    <w:rsid w:val="00CC2513"/>
    <w:rsid w:val="00CC26A8"/>
    <w:rsid w:val="00CC2B0D"/>
    <w:rsid w:val="00CC2BA2"/>
    <w:rsid w:val="00CC2DD7"/>
    <w:rsid w:val="00CC2E11"/>
    <w:rsid w:val="00CC39AB"/>
    <w:rsid w:val="00CC3DA1"/>
    <w:rsid w:val="00CC3DE2"/>
    <w:rsid w:val="00CC4221"/>
    <w:rsid w:val="00CC42C1"/>
    <w:rsid w:val="00CC47FA"/>
    <w:rsid w:val="00CC51CA"/>
    <w:rsid w:val="00CC6289"/>
    <w:rsid w:val="00CC62A8"/>
    <w:rsid w:val="00CC63A9"/>
    <w:rsid w:val="00CC642E"/>
    <w:rsid w:val="00CC6436"/>
    <w:rsid w:val="00CC646F"/>
    <w:rsid w:val="00CC661C"/>
    <w:rsid w:val="00CC6A47"/>
    <w:rsid w:val="00CC6EA1"/>
    <w:rsid w:val="00CC715E"/>
    <w:rsid w:val="00CC74E1"/>
    <w:rsid w:val="00CC77A8"/>
    <w:rsid w:val="00CC7829"/>
    <w:rsid w:val="00CC7AB6"/>
    <w:rsid w:val="00CC7C24"/>
    <w:rsid w:val="00CC7CCD"/>
    <w:rsid w:val="00CC7FE5"/>
    <w:rsid w:val="00CD0262"/>
    <w:rsid w:val="00CD0506"/>
    <w:rsid w:val="00CD0A1A"/>
    <w:rsid w:val="00CD0E81"/>
    <w:rsid w:val="00CD0E87"/>
    <w:rsid w:val="00CD0F53"/>
    <w:rsid w:val="00CD111A"/>
    <w:rsid w:val="00CD1121"/>
    <w:rsid w:val="00CD128C"/>
    <w:rsid w:val="00CD18C1"/>
    <w:rsid w:val="00CD1E40"/>
    <w:rsid w:val="00CD1FAD"/>
    <w:rsid w:val="00CD244E"/>
    <w:rsid w:val="00CD289C"/>
    <w:rsid w:val="00CD2AF3"/>
    <w:rsid w:val="00CD2E69"/>
    <w:rsid w:val="00CD3CF9"/>
    <w:rsid w:val="00CD4061"/>
    <w:rsid w:val="00CD4197"/>
    <w:rsid w:val="00CD4340"/>
    <w:rsid w:val="00CD442F"/>
    <w:rsid w:val="00CD466A"/>
    <w:rsid w:val="00CD4A51"/>
    <w:rsid w:val="00CD4A6F"/>
    <w:rsid w:val="00CD5161"/>
    <w:rsid w:val="00CD57B5"/>
    <w:rsid w:val="00CD5BD3"/>
    <w:rsid w:val="00CD5C78"/>
    <w:rsid w:val="00CD5D0B"/>
    <w:rsid w:val="00CD5FB5"/>
    <w:rsid w:val="00CD5FE2"/>
    <w:rsid w:val="00CD65AB"/>
    <w:rsid w:val="00CD6D27"/>
    <w:rsid w:val="00CD718E"/>
    <w:rsid w:val="00CD79AE"/>
    <w:rsid w:val="00CD7B2B"/>
    <w:rsid w:val="00CD7BC6"/>
    <w:rsid w:val="00CD7EA9"/>
    <w:rsid w:val="00CE00E5"/>
    <w:rsid w:val="00CE044C"/>
    <w:rsid w:val="00CE0C24"/>
    <w:rsid w:val="00CE11A2"/>
    <w:rsid w:val="00CE1841"/>
    <w:rsid w:val="00CE1E5B"/>
    <w:rsid w:val="00CE1F18"/>
    <w:rsid w:val="00CE2290"/>
    <w:rsid w:val="00CE2392"/>
    <w:rsid w:val="00CE2894"/>
    <w:rsid w:val="00CE31A5"/>
    <w:rsid w:val="00CE33B9"/>
    <w:rsid w:val="00CE39C3"/>
    <w:rsid w:val="00CE3B92"/>
    <w:rsid w:val="00CE3C32"/>
    <w:rsid w:val="00CE437A"/>
    <w:rsid w:val="00CE4615"/>
    <w:rsid w:val="00CE4D78"/>
    <w:rsid w:val="00CE4F1B"/>
    <w:rsid w:val="00CE4F90"/>
    <w:rsid w:val="00CE514A"/>
    <w:rsid w:val="00CE5BA6"/>
    <w:rsid w:val="00CE5FE2"/>
    <w:rsid w:val="00CE69AC"/>
    <w:rsid w:val="00CE6A81"/>
    <w:rsid w:val="00CE6D61"/>
    <w:rsid w:val="00CE714A"/>
    <w:rsid w:val="00CE7468"/>
    <w:rsid w:val="00CE79F5"/>
    <w:rsid w:val="00CE7E03"/>
    <w:rsid w:val="00CF0057"/>
    <w:rsid w:val="00CF028B"/>
    <w:rsid w:val="00CF03F5"/>
    <w:rsid w:val="00CF065B"/>
    <w:rsid w:val="00CF0A34"/>
    <w:rsid w:val="00CF0B6F"/>
    <w:rsid w:val="00CF0BB9"/>
    <w:rsid w:val="00CF0D82"/>
    <w:rsid w:val="00CF1260"/>
    <w:rsid w:val="00CF12CF"/>
    <w:rsid w:val="00CF1606"/>
    <w:rsid w:val="00CF1B68"/>
    <w:rsid w:val="00CF1F34"/>
    <w:rsid w:val="00CF251C"/>
    <w:rsid w:val="00CF2625"/>
    <w:rsid w:val="00CF273E"/>
    <w:rsid w:val="00CF2AE0"/>
    <w:rsid w:val="00CF2D52"/>
    <w:rsid w:val="00CF2EE6"/>
    <w:rsid w:val="00CF2FA1"/>
    <w:rsid w:val="00CF306E"/>
    <w:rsid w:val="00CF3425"/>
    <w:rsid w:val="00CF3646"/>
    <w:rsid w:val="00CF3773"/>
    <w:rsid w:val="00CF3B22"/>
    <w:rsid w:val="00CF3E68"/>
    <w:rsid w:val="00CF415E"/>
    <w:rsid w:val="00CF46D7"/>
    <w:rsid w:val="00CF476C"/>
    <w:rsid w:val="00CF48BF"/>
    <w:rsid w:val="00CF4B8B"/>
    <w:rsid w:val="00CF509A"/>
    <w:rsid w:val="00CF51EF"/>
    <w:rsid w:val="00CF52BC"/>
    <w:rsid w:val="00CF52C3"/>
    <w:rsid w:val="00CF5506"/>
    <w:rsid w:val="00CF5571"/>
    <w:rsid w:val="00CF5B95"/>
    <w:rsid w:val="00CF6025"/>
    <w:rsid w:val="00CF61B0"/>
    <w:rsid w:val="00CF6621"/>
    <w:rsid w:val="00CF666A"/>
    <w:rsid w:val="00CF692F"/>
    <w:rsid w:val="00CF7356"/>
    <w:rsid w:val="00CF799E"/>
    <w:rsid w:val="00D003BC"/>
    <w:rsid w:val="00D00512"/>
    <w:rsid w:val="00D00B99"/>
    <w:rsid w:val="00D00C27"/>
    <w:rsid w:val="00D00FB6"/>
    <w:rsid w:val="00D01487"/>
    <w:rsid w:val="00D01728"/>
    <w:rsid w:val="00D017DB"/>
    <w:rsid w:val="00D02347"/>
    <w:rsid w:val="00D028F3"/>
    <w:rsid w:val="00D02AC9"/>
    <w:rsid w:val="00D02DAE"/>
    <w:rsid w:val="00D02E6D"/>
    <w:rsid w:val="00D03833"/>
    <w:rsid w:val="00D03A14"/>
    <w:rsid w:val="00D03ACC"/>
    <w:rsid w:val="00D03CF5"/>
    <w:rsid w:val="00D03ECE"/>
    <w:rsid w:val="00D03FB5"/>
    <w:rsid w:val="00D0482D"/>
    <w:rsid w:val="00D0482E"/>
    <w:rsid w:val="00D04B69"/>
    <w:rsid w:val="00D04F2F"/>
    <w:rsid w:val="00D0501E"/>
    <w:rsid w:val="00D05602"/>
    <w:rsid w:val="00D058FB"/>
    <w:rsid w:val="00D05929"/>
    <w:rsid w:val="00D05C9A"/>
    <w:rsid w:val="00D05F71"/>
    <w:rsid w:val="00D06327"/>
    <w:rsid w:val="00D066BD"/>
    <w:rsid w:val="00D06825"/>
    <w:rsid w:val="00D06C8A"/>
    <w:rsid w:val="00D06E52"/>
    <w:rsid w:val="00D070D4"/>
    <w:rsid w:val="00D07213"/>
    <w:rsid w:val="00D0730C"/>
    <w:rsid w:val="00D07830"/>
    <w:rsid w:val="00D10492"/>
    <w:rsid w:val="00D1073A"/>
    <w:rsid w:val="00D10AC4"/>
    <w:rsid w:val="00D10F1B"/>
    <w:rsid w:val="00D10F2D"/>
    <w:rsid w:val="00D1109B"/>
    <w:rsid w:val="00D111E9"/>
    <w:rsid w:val="00D11361"/>
    <w:rsid w:val="00D11622"/>
    <w:rsid w:val="00D118F2"/>
    <w:rsid w:val="00D119DA"/>
    <w:rsid w:val="00D12071"/>
    <w:rsid w:val="00D12218"/>
    <w:rsid w:val="00D1225D"/>
    <w:rsid w:val="00D122A8"/>
    <w:rsid w:val="00D12482"/>
    <w:rsid w:val="00D12AD8"/>
    <w:rsid w:val="00D12BFD"/>
    <w:rsid w:val="00D12DDD"/>
    <w:rsid w:val="00D12FFD"/>
    <w:rsid w:val="00D135D5"/>
    <w:rsid w:val="00D13639"/>
    <w:rsid w:val="00D13C47"/>
    <w:rsid w:val="00D13C65"/>
    <w:rsid w:val="00D140EC"/>
    <w:rsid w:val="00D1417D"/>
    <w:rsid w:val="00D141AA"/>
    <w:rsid w:val="00D141BD"/>
    <w:rsid w:val="00D1457E"/>
    <w:rsid w:val="00D14784"/>
    <w:rsid w:val="00D14AD5"/>
    <w:rsid w:val="00D14AEA"/>
    <w:rsid w:val="00D14B3B"/>
    <w:rsid w:val="00D15409"/>
    <w:rsid w:val="00D1606B"/>
    <w:rsid w:val="00D16155"/>
    <w:rsid w:val="00D16320"/>
    <w:rsid w:val="00D163ED"/>
    <w:rsid w:val="00D16556"/>
    <w:rsid w:val="00D165E8"/>
    <w:rsid w:val="00D16B1A"/>
    <w:rsid w:val="00D16EBA"/>
    <w:rsid w:val="00D16F15"/>
    <w:rsid w:val="00D17055"/>
    <w:rsid w:val="00D170BC"/>
    <w:rsid w:val="00D201F4"/>
    <w:rsid w:val="00D2042B"/>
    <w:rsid w:val="00D20F64"/>
    <w:rsid w:val="00D210FA"/>
    <w:rsid w:val="00D211C8"/>
    <w:rsid w:val="00D215FA"/>
    <w:rsid w:val="00D21791"/>
    <w:rsid w:val="00D22041"/>
    <w:rsid w:val="00D22319"/>
    <w:rsid w:val="00D22489"/>
    <w:rsid w:val="00D23089"/>
    <w:rsid w:val="00D23168"/>
    <w:rsid w:val="00D238ED"/>
    <w:rsid w:val="00D23AA4"/>
    <w:rsid w:val="00D23E85"/>
    <w:rsid w:val="00D2405B"/>
    <w:rsid w:val="00D244AA"/>
    <w:rsid w:val="00D24B3D"/>
    <w:rsid w:val="00D24BDD"/>
    <w:rsid w:val="00D250AA"/>
    <w:rsid w:val="00D250B3"/>
    <w:rsid w:val="00D25A35"/>
    <w:rsid w:val="00D25C8F"/>
    <w:rsid w:val="00D25CBC"/>
    <w:rsid w:val="00D262DB"/>
    <w:rsid w:val="00D264D5"/>
    <w:rsid w:val="00D268E1"/>
    <w:rsid w:val="00D26DE5"/>
    <w:rsid w:val="00D26E3D"/>
    <w:rsid w:val="00D2702F"/>
    <w:rsid w:val="00D270A0"/>
    <w:rsid w:val="00D2717E"/>
    <w:rsid w:val="00D27772"/>
    <w:rsid w:val="00D2777B"/>
    <w:rsid w:val="00D27AB0"/>
    <w:rsid w:val="00D302EC"/>
    <w:rsid w:val="00D30431"/>
    <w:rsid w:val="00D30965"/>
    <w:rsid w:val="00D30B45"/>
    <w:rsid w:val="00D30D60"/>
    <w:rsid w:val="00D30DDD"/>
    <w:rsid w:val="00D311F9"/>
    <w:rsid w:val="00D31475"/>
    <w:rsid w:val="00D314DF"/>
    <w:rsid w:val="00D317DE"/>
    <w:rsid w:val="00D31BD4"/>
    <w:rsid w:val="00D31E89"/>
    <w:rsid w:val="00D32046"/>
    <w:rsid w:val="00D323A5"/>
    <w:rsid w:val="00D3243C"/>
    <w:rsid w:val="00D3275C"/>
    <w:rsid w:val="00D32DE6"/>
    <w:rsid w:val="00D32E27"/>
    <w:rsid w:val="00D33323"/>
    <w:rsid w:val="00D333FC"/>
    <w:rsid w:val="00D334E2"/>
    <w:rsid w:val="00D335FD"/>
    <w:rsid w:val="00D33874"/>
    <w:rsid w:val="00D33B7D"/>
    <w:rsid w:val="00D33C70"/>
    <w:rsid w:val="00D341C1"/>
    <w:rsid w:val="00D348F5"/>
    <w:rsid w:val="00D34B19"/>
    <w:rsid w:val="00D34FB2"/>
    <w:rsid w:val="00D35201"/>
    <w:rsid w:val="00D35C5C"/>
    <w:rsid w:val="00D35E6C"/>
    <w:rsid w:val="00D3623A"/>
    <w:rsid w:val="00D36498"/>
    <w:rsid w:val="00D3684B"/>
    <w:rsid w:val="00D371CC"/>
    <w:rsid w:val="00D371EE"/>
    <w:rsid w:val="00D373CA"/>
    <w:rsid w:val="00D401CE"/>
    <w:rsid w:val="00D402D2"/>
    <w:rsid w:val="00D4044F"/>
    <w:rsid w:val="00D40C9F"/>
    <w:rsid w:val="00D41267"/>
    <w:rsid w:val="00D41AD4"/>
    <w:rsid w:val="00D42076"/>
    <w:rsid w:val="00D425DE"/>
    <w:rsid w:val="00D429F3"/>
    <w:rsid w:val="00D42A3A"/>
    <w:rsid w:val="00D42FF9"/>
    <w:rsid w:val="00D4329A"/>
    <w:rsid w:val="00D43482"/>
    <w:rsid w:val="00D43484"/>
    <w:rsid w:val="00D43847"/>
    <w:rsid w:val="00D43D3E"/>
    <w:rsid w:val="00D440C7"/>
    <w:rsid w:val="00D44F2D"/>
    <w:rsid w:val="00D45340"/>
    <w:rsid w:val="00D45C6D"/>
    <w:rsid w:val="00D4646E"/>
    <w:rsid w:val="00D46917"/>
    <w:rsid w:val="00D46CCE"/>
    <w:rsid w:val="00D47AE9"/>
    <w:rsid w:val="00D47FCD"/>
    <w:rsid w:val="00D50271"/>
    <w:rsid w:val="00D506AD"/>
    <w:rsid w:val="00D50873"/>
    <w:rsid w:val="00D50876"/>
    <w:rsid w:val="00D50A49"/>
    <w:rsid w:val="00D50DBA"/>
    <w:rsid w:val="00D510C6"/>
    <w:rsid w:val="00D516AF"/>
    <w:rsid w:val="00D51AA0"/>
    <w:rsid w:val="00D51C55"/>
    <w:rsid w:val="00D51E73"/>
    <w:rsid w:val="00D5243A"/>
    <w:rsid w:val="00D52524"/>
    <w:rsid w:val="00D52F93"/>
    <w:rsid w:val="00D5398F"/>
    <w:rsid w:val="00D54138"/>
    <w:rsid w:val="00D543E9"/>
    <w:rsid w:val="00D54B25"/>
    <w:rsid w:val="00D54C5F"/>
    <w:rsid w:val="00D54C78"/>
    <w:rsid w:val="00D54EFA"/>
    <w:rsid w:val="00D55298"/>
    <w:rsid w:val="00D554A9"/>
    <w:rsid w:val="00D55586"/>
    <w:rsid w:val="00D56065"/>
    <w:rsid w:val="00D56361"/>
    <w:rsid w:val="00D565EC"/>
    <w:rsid w:val="00D565EE"/>
    <w:rsid w:val="00D56628"/>
    <w:rsid w:val="00D56974"/>
    <w:rsid w:val="00D56A2A"/>
    <w:rsid w:val="00D572F9"/>
    <w:rsid w:val="00D57809"/>
    <w:rsid w:val="00D57948"/>
    <w:rsid w:val="00D57B03"/>
    <w:rsid w:val="00D57E8E"/>
    <w:rsid w:val="00D601C0"/>
    <w:rsid w:val="00D607BA"/>
    <w:rsid w:val="00D60A04"/>
    <w:rsid w:val="00D60A5E"/>
    <w:rsid w:val="00D60AEC"/>
    <w:rsid w:val="00D60B31"/>
    <w:rsid w:val="00D60BA2"/>
    <w:rsid w:val="00D60C25"/>
    <w:rsid w:val="00D60CCE"/>
    <w:rsid w:val="00D60CDB"/>
    <w:rsid w:val="00D60D2F"/>
    <w:rsid w:val="00D610A1"/>
    <w:rsid w:val="00D611CD"/>
    <w:rsid w:val="00D61258"/>
    <w:rsid w:val="00D6133D"/>
    <w:rsid w:val="00D61602"/>
    <w:rsid w:val="00D618C4"/>
    <w:rsid w:val="00D61936"/>
    <w:rsid w:val="00D62304"/>
    <w:rsid w:val="00D62478"/>
    <w:rsid w:val="00D628E1"/>
    <w:rsid w:val="00D631D7"/>
    <w:rsid w:val="00D63652"/>
    <w:rsid w:val="00D63AE5"/>
    <w:rsid w:val="00D64052"/>
    <w:rsid w:val="00D645FE"/>
    <w:rsid w:val="00D646B8"/>
    <w:rsid w:val="00D6487E"/>
    <w:rsid w:val="00D64B70"/>
    <w:rsid w:val="00D65214"/>
    <w:rsid w:val="00D653B5"/>
    <w:rsid w:val="00D658E3"/>
    <w:rsid w:val="00D65914"/>
    <w:rsid w:val="00D659E4"/>
    <w:rsid w:val="00D65C1C"/>
    <w:rsid w:val="00D65C9D"/>
    <w:rsid w:val="00D661F6"/>
    <w:rsid w:val="00D6643F"/>
    <w:rsid w:val="00D6662E"/>
    <w:rsid w:val="00D668AB"/>
    <w:rsid w:val="00D669D5"/>
    <w:rsid w:val="00D66C3A"/>
    <w:rsid w:val="00D66E03"/>
    <w:rsid w:val="00D66FF3"/>
    <w:rsid w:val="00D67028"/>
    <w:rsid w:val="00D7004E"/>
    <w:rsid w:val="00D7010D"/>
    <w:rsid w:val="00D7031E"/>
    <w:rsid w:val="00D7033A"/>
    <w:rsid w:val="00D7036C"/>
    <w:rsid w:val="00D70AAB"/>
    <w:rsid w:val="00D7102D"/>
    <w:rsid w:val="00D71B38"/>
    <w:rsid w:val="00D71C18"/>
    <w:rsid w:val="00D71CA3"/>
    <w:rsid w:val="00D720E7"/>
    <w:rsid w:val="00D72254"/>
    <w:rsid w:val="00D72487"/>
    <w:rsid w:val="00D72B15"/>
    <w:rsid w:val="00D72B9B"/>
    <w:rsid w:val="00D73739"/>
    <w:rsid w:val="00D7376A"/>
    <w:rsid w:val="00D73CFF"/>
    <w:rsid w:val="00D73F1B"/>
    <w:rsid w:val="00D740C9"/>
    <w:rsid w:val="00D74169"/>
    <w:rsid w:val="00D743A5"/>
    <w:rsid w:val="00D7493F"/>
    <w:rsid w:val="00D7572F"/>
    <w:rsid w:val="00D759B2"/>
    <w:rsid w:val="00D75E95"/>
    <w:rsid w:val="00D7604B"/>
    <w:rsid w:val="00D7615F"/>
    <w:rsid w:val="00D76236"/>
    <w:rsid w:val="00D76264"/>
    <w:rsid w:val="00D7630D"/>
    <w:rsid w:val="00D76BF3"/>
    <w:rsid w:val="00D7739C"/>
    <w:rsid w:val="00D778D8"/>
    <w:rsid w:val="00D77C3B"/>
    <w:rsid w:val="00D77F4F"/>
    <w:rsid w:val="00D802F2"/>
    <w:rsid w:val="00D81030"/>
    <w:rsid w:val="00D81408"/>
    <w:rsid w:val="00D81744"/>
    <w:rsid w:val="00D817C0"/>
    <w:rsid w:val="00D818A2"/>
    <w:rsid w:val="00D818C6"/>
    <w:rsid w:val="00D81EF2"/>
    <w:rsid w:val="00D81F55"/>
    <w:rsid w:val="00D81FD2"/>
    <w:rsid w:val="00D82038"/>
    <w:rsid w:val="00D822C8"/>
    <w:rsid w:val="00D82331"/>
    <w:rsid w:val="00D82518"/>
    <w:rsid w:val="00D82655"/>
    <w:rsid w:val="00D82996"/>
    <w:rsid w:val="00D82FC2"/>
    <w:rsid w:val="00D83052"/>
    <w:rsid w:val="00D83221"/>
    <w:rsid w:val="00D846F1"/>
    <w:rsid w:val="00D84CE8"/>
    <w:rsid w:val="00D84F91"/>
    <w:rsid w:val="00D85B44"/>
    <w:rsid w:val="00D85E4C"/>
    <w:rsid w:val="00D8608C"/>
    <w:rsid w:val="00D860A9"/>
    <w:rsid w:val="00D862EA"/>
    <w:rsid w:val="00D8646F"/>
    <w:rsid w:val="00D8654E"/>
    <w:rsid w:val="00D865E7"/>
    <w:rsid w:val="00D866D8"/>
    <w:rsid w:val="00D86CEE"/>
    <w:rsid w:val="00D86D00"/>
    <w:rsid w:val="00D871D3"/>
    <w:rsid w:val="00D87B5C"/>
    <w:rsid w:val="00D87C7E"/>
    <w:rsid w:val="00D87CAD"/>
    <w:rsid w:val="00D87E3C"/>
    <w:rsid w:val="00D90015"/>
    <w:rsid w:val="00D9022A"/>
    <w:rsid w:val="00D90269"/>
    <w:rsid w:val="00D904B6"/>
    <w:rsid w:val="00D906EA"/>
    <w:rsid w:val="00D9082D"/>
    <w:rsid w:val="00D90D21"/>
    <w:rsid w:val="00D90E9A"/>
    <w:rsid w:val="00D9119F"/>
    <w:rsid w:val="00D91206"/>
    <w:rsid w:val="00D91230"/>
    <w:rsid w:val="00D9149B"/>
    <w:rsid w:val="00D91743"/>
    <w:rsid w:val="00D91A55"/>
    <w:rsid w:val="00D91FDD"/>
    <w:rsid w:val="00D924C5"/>
    <w:rsid w:val="00D9269C"/>
    <w:rsid w:val="00D92889"/>
    <w:rsid w:val="00D931EE"/>
    <w:rsid w:val="00D931FB"/>
    <w:rsid w:val="00D939DE"/>
    <w:rsid w:val="00D9419C"/>
    <w:rsid w:val="00D9421B"/>
    <w:rsid w:val="00D944A8"/>
    <w:rsid w:val="00D947FF"/>
    <w:rsid w:val="00D94E9C"/>
    <w:rsid w:val="00D94F14"/>
    <w:rsid w:val="00D94FED"/>
    <w:rsid w:val="00D95097"/>
    <w:rsid w:val="00D95188"/>
    <w:rsid w:val="00D951F1"/>
    <w:rsid w:val="00D95365"/>
    <w:rsid w:val="00D956B7"/>
    <w:rsid w:val="00D95704"/>
    <w:rsid w:val="00D96921"/>
    <w:rsid w:val="00D96924"/>
    <w:rsid w:val="00D96A0D"/>
    <w:rsid w:val="00D96F04"/>
    <w:rsid w:val="00D96F43"/>
    <w:rsid w:val="00D9718A"/>
    <w:rsid w:val="00D9767F"/>
    <w:rsid w:val="00D97AB8"/>
    <w:rsid w:val="00DA016B"/>
    <w:rsid w:val="00DA06F9"/>
    <w:rsid w:val="00DA0880"/>
    <w:rsid w:val="00DA0B6A"/>
    <w:rsid w:val="00DA0FBC"/>
    <w:rsid w:val="00DA1094"/>
    <w:rsid w:val="00DA20E7"/>
    <w:rsid w:val="00DA2650"/>
    <w:rsid w:val="00DA3053"/>
    <w:rsid w:val="00DA31F9"/>
    <w:rsid w:val="00DA3FD4"/>
    <w:rsid w:val="00DA4563"/>
    <w:rsid w:val="00DA4A8E"/>
    <w:rsid w:val="00DA5187"/>
    <w:rsid w:val="00DA525A"/>
    <w:rsid w:val="00DA5477"/>
    <w:rsid w:val="00DA54FF"/>
    <w:rsid w:val="00DA5703"/>
    <w:rsid w:val="00DA5BCC"/>
    <w:rsid w:val="00DA6201"/>
    <w:rsid w:val="00DA66CD"/>
    <w:rsid w:val="00DA6C07"/>
    <w:rsid w:val="00DA6CE3"/>
    <w:rsid w:val="00DA7455"/>
    <w:rsid w:val="00DA76AF"/>
    <w:rsid w:val="00DA782B"/>
    <w:rsid w:val="00DA7A08"/>
    <w:rsid w:val="00DB0415"/>
    <w:rsid w:val="00DB08DA"/>
    <w:rsid w:val="00DB0D22"/>
    <w:rsid w:val="00DB0DEE"/>
    <w:rsid w:val="00DB14DA"/>
    <w:rsid w:val="00DB18D2"/>
    <w:rsid w:val="00DB19ED"/>
    <w:rsid w:val="00DB1E15"/>
    <w:rsid w:val="00DB1F42"/>
    <w:rsid w:val="00DB1FAC"/>
    <w:rsid w:val="00DB311D"/>
    <w:rsid w:val="00DB36EA"/>
    <w:rsid w:val="00DB3A2B"/>
    <w:rsid w:val="00DB44CE"/>
    <w:rsid w:val="00DB44E2"/>
    <w:rsid w:val="00DB4613"/>
    <w:rsid w:val="00DB4853"/>
    <w:rsid w:val="00DB48C6"/>
    <w:rsid w:val="00DB4A2E"/>
    <w:rsid w:val="00DB4A64"/>
    <w:rsid w:val="00DB4D52"/>
    <w:rsid w:val="00DB4D9D"/>
    <w:rsid w:val="00DB58CF"/>
    <w:rsid w:val="00DB5955"/>
    <w:rsid w:val="00DB5EBA"/>
    <w:rsid w:val="00DB5F10"/>
    <w:rsid w:val="00DB6252"/>
    <w:rsid w:val="00DB6896"/>
    <w:rsid w:val="00DB6BD7"/>
    <w:rsid w:val="00DB6FB7"/>
    <w:rsid w:val="00DB7050"/>
    <w:rsid w:val="00DB71B8"/>
    <w:rsid w:val="00DB7795"/>
    <w:rsid w:val="00DC0390"/>
    <w:rsid w:val="00DC03E9"/>
    <w:rsid w:val="00DC0D75"/>
    <w:rsid w:val="00DC0E48"/>
    <w:rsid w:val="00DC103D"/>
    <w:rsid w:val="00DC14A3"/>
    <w:rsid w:val="00DC15C2"/>
    <w:rsid w:val="00DC1803"/>
    <w:rsid w:val="00DC19F6"/>
    <w:rsid w:val="00DC207E"/>
    <w:rsid w:val="00DC217A"/>
    <w:rsid w:val="00DC219A"/>
    <w:rsid w:val="00DC2471"/>
    <w:rsid w:val="00DC25B6"/>
    <w:rsid w:val="00DC263D"/>
    <w:rsid w:val="00DC2760"/>
    <w:rsid w:val="00DC2761"/>
    <w:rsid w:val="00DC37C3"/>
    <w:rsid w:val="00DC3A6D"/>
    <w:rsid w:val="00DC3C95"/>
    <w:rsid w:val="00DC3D04"/>
    <w:rsid w:val="00DC419D"/>
    <w:rsid w:val="00DC4344"/>
    <w:rsid w:val="00DC48D2"/>
    <w:rsid w:val="00DC4A7E"/>
    <w:rsid w:val="00DC5188"/>
    <w:rsid w:val="00DC5205"/>
    <w:rsid w:val="00DC55FD"/>
    <w:rsid w:val="00DC560D"/>
    <w:rsid w:val="00DC5DDB"/>
    <w:rsid w:val="00DC5FD6"/>
    <w:rsid w:val="00DC64E1"/>
    <w:rsid w:val="00DC6E64"/>
    <w:rsid w:val="00DC75E0"/>
    <w:rsid w:val="00DC771F"/>
    <w:rsid w:val="00DC7998"/>
    <w:rsid w:val="00DC7BBB"/>
    <w:rsid w:val="00DD0425"/>
    <w:rsid w:val="00DD0B37"/>
    <w:rsid w:val="00DD0D4D"/>
    <w:rsid w:val="00DD1506"/>
    <w:rsid w:val="00DD19DF"/>
    <w:rsid w:val="00DD25B5"/>
    <w:rsid w:val="00DD280F"/>
    <w:rsid w:val="00DD282A"/>
    <w:rsid w:val="00DD2B1B"/>
    <w:rsid w:val="00DD32CF"/>
    <w:rsid w:val="00DD330E"/>
    <w:rsid w:val="00DD364B"/>
    <w:rsid w:val="00DD397F"/>
    <w:rsid w:val="00DD3B8C"/>
    <w:rsid w:val="00DD3C32"/>
    <w:rsid w:val="00DD40C2"/>
    <w:rsid w:val="00DD4277"/>
    <w:rsid w:val="00DD47D2"/>
    <w:rsid w:val="00DD4886"/>
    <w:rsid w:val="00DD4E44"/>
    <w:rsid w:val="00DD4F55"/>
    <w:rsid w:val="00DD536F"/>
    <w:rsid w:val="00DD551C"/>
    <w:rsid w:val="00DD57B3"/>
    <w:rsid w:val="00DD59A7"/>
    <w:rsid w:val="00DD5CEC"/>
    <w:rsid w:val="00DD5F8C"/>
    <w:rsid w:val="00DD60DD"/>
    <w:rsid w:val="00DD6211"/>
    <w:rsid w:val="00DD6657"/>
    <w:rsid w:val="00DD6659"/>
    <w:rsid w:val="00DD66F7"/>
    <w:rsid w:val="00DD6C79"/>
    <w:rsid w:val="00DD7346"/>
    <w:rsid w:val="00DD753C"/>
    <w:rsid w:val="00DD772F"/>
    <w:rsid w:val="00DD7988"/>
    <w:rsid w:val="00DD7ADC"/>
    <w:rsid w:val="00DD7B10"/>
    <w:rsid w:val="00DD7BB5"/>
    <w:rsid w:val="00DD7DF4"/>
    <w:rsid w:val="00DE0194"/>
    <w:rsid w:val="00DE067B"/>
    <w:rsid w:val="00DE0A1A"/>
    <w:rsid w:val="00DE0A56"/>
    <w:rsid w:val="00DE0B73"/>
    <w:rsid w:val="00DE0CA7"/>
    <w:rsid w:val="00DE0D90"/>
    <w:rsid w:val="00DE12A5"/>
    <w:rsid w:val="00DE15B6"/>
    <w:rsid w:val="00DE15CB"/>
    <w:rsid w:val="00DE1AB4"/>
    <w:rsid w:val="00DE23AC"/>
    <w:rsid w:val="00DE2A82"/>
    <w:rsid w:val="00DE2AA8"/>
    <w:rsid w:val="00DE2DBB"/>
    <w:rsid w:val="00DE304F"/>
    <w:rsid w:val="00DE3174"/>
    <w:rsid w:val="00DE3183"/>
    <w:rsid w:val="00DE35F0"/>
    <w:rsid w:val="00DE38B8"/>
    <w:rsid w:val="00DE3A4D"/>
    <w:rsid w:val="00DE3CC3"/>
    <w:rsid w:val="00DE3EE5"/>
    <w:rsid w:val="00DE546E"/>
    <w:rsid w:val="00DE55D0"/>
    <w:rsid w:val="00DE5638"/>
    <w:rsid w:val="00DE584C"/>
    <w:rsid w:val="00DE5ADA"/>
    <w:rsid w:val="00DE5B77"/>
    <w:rsid w:val="00DE5C7C"/>
    <w:rsid w:val="00DE5E54"/>
    <w:rsid w:val="00DE66D4"/>
    <w:rsid w:val="00DE67A8"/>
    <w:rsid w:val="00DE67EC"/>
    <w:rsid w:val="00DE699A"/>
    <w:rsid w:val="00DE6D26"/>
    <w:rsid w:val="00DE6DB1"/>
    <w:rsid w:val="00DE7055"/>
    <w:rsid w:val="00DE72FB"/>
    <w:rsid w:val="00DE7444"/>
    <w:rsid w:val="00DE75D8"/>
    <w:rsid w:val="00DF0457"/>
    <w:rsid w:val="00DF0530"/>
    <w:rsid w:val="00DF070B"/>
    <w:rsid w:val="00DF1634"/>
    <w:rsid w:val="00DF1A66"/>
    <w:rsid w:val="00DF1DC5"/>
    <w:rsid w:val="00DF1FDA"/>
    <w:rsid w:val="00DF20BE"/>
    <w:rsid w:val="00DF20EE"/>
    <w:rsid w:val="00DF2235"/>
    <w:rsid w:val="00DF2563"/>
    <w:rsid w:val="00DF269A"/>
    <w:rsid w:val="00DF26A1"/>
    <w:rsid w:val="00DF32D1"/>
    <w:rsid w:val="00DF3917"/>
    <w:rsid w:val="00DF394C"/>
    <w:rsid w:val="00DF45F6"/>
    <w:rsid w:val="00DF4843"/>
    <w:rsid w:val="00DF4B29"/>
    <w:rsid w:val="00DF4EAD"/>
    <w:rsid w:val="00DF534E"/>
    <w:rsid w:val="00DF53EF"/>
    <w:rsid w:val="00DF5865"/>
    <w:rsid w:val="00DF5BF0"/>
    <w:rsid w:val="00DF5E59"/>
    <w:rsid w:val="00DF635D"/>
    <w:rsid w:val="00DF638D"/>
    <w:rsid w:val="00DF6410"/>
    <w:rsid w:val="00DF666F"/>
    <w:rsid w:val="00DF6AAC"/>
    <w:rsid w:val="00DF78A6"/>
    <w:rsid w:val="00E00135"/>
    <w:rsid w:val="00E00173"/>
    <w:rsid w:val="00E0059C"/>
    <w:rsid w:val="00E006D2"/>
    <w:rsid w:val="00E006F9"/>
    <w:rsid w:val="00E00B1E"/>
    <w:rsid w:val="00E01172"/>
    <w:rsid w:val="00E01455"/>
    <w:rsid w:val="00E01662"/>
    <w:rsid w:val="00E01790"/>
    <w:rsid w:val="00E017B8"/>
    <w:rsid w:val="00E01A1E"/>
    <w:rsid w:val="00E01A27"/>
    <w:rsid w:val="00E01A8F"/>
    <w:rsid w:val="00E01EC8"/>
    <w:rsid w:val="00E021BE"/>
    <w:rsid w:val="00E021C3"/>
    <w:rsid w:val="00E0226E"/>
    <w:rsid w:val="00E02489"/>
    <w:rsid w:val="00E024E0"/>
    <w:rsid w:val="00E024EF"/>
    <w:rsid w:val="00E02552"/>
    <w:rsid w:val="00E02BD4"/>
    <w:rsid w:val="00E02E55"/>
    <w:rsid w:val="00E02FB9"/>
    <w:rsid w:val="00E03239"/>
    <w:rsid w:val="00E0327A"/>
    <w:rsid w:val="00E032A8"/>
    <w:rsid w:val="00E03548"/>
    <w:rsid w:val="00E03A5D"/>
    <w:rsid w:val="00E03B13"/>
    <w:rsid w:val="00E03B9C"/>
    <w:rsid w:val="00E0401C"/>
    <w:rsid w:val="00E04032"/>
    <w:rsid w:val="00E0403B"/>
    <w:rsid w:val="00E04169"/>
    <w:rsid w:val="00E04438"/>
    <w:rsid w:val="00E05111"/>
    <w:rsid w:val="00E05212"/>
    <w:rsid w:val="00E058CC"/>
    <w:rsid w:val="00E05C11"/>
    <w:rsid w:val="00E05C35"/>
    <w:rsid w:val="00E05DC3"/>
    <w:rsid w:val="00E0632E"/>
    <w:rsid w:val="00E06587"/>
    <w:rsid w:val="00E0666F"/>
    <w:rsid w:val="00E06A17"/>
    <w:rsid w:val="00E06B74"/>
    <w:rsid w:val="00E06CB9"/>
    <w:rsid w:val="00E073ED"/>
    <w:rsid w:val="00E075BD"/>
    <w:rsid w:val="00E0769C"/>
    <w:rsid w:val="00E07AD5"/>
    <w:rsid w:val="00E1016D"/>
    <w:rsid w:val="00E10E2C"/>
    <w:rsid w:val="00E112CA"/>
    <w:rsid w:val="00E11651"/>
    <w:rsid w:val="00E11C5F"/>
    <w:rsid w:val="00E11CC2"/>
    <w:rsid w:val="00E1244C"/>
    <w:rsid w:val="00E125CE"/>
    <w:rsid w:val="00E12A53"/>
    <w:rsid w:val="00E1322B"/>
    <w:rsid w:val="00E132D9"/>
    <w:rsid w:val="00E13A1D"/>
    <w:rsid w:val="00E13C02"/>
    <w:rsid w:val="00E13C4B"/>
    <w:rsid w:val="00E13C5C"/>
    <w:rsid w:val="00E13CD4"/>
    <w:rsid w:val="00E13D3E"/>
    <w:rsid w:val="00E140DE"/>
    <w:rsid w:val="00E145CB"/>
    <w:rsid w:val="00E14A83"/>
    <w:rsid w:val="00E14AD7"/>
    <w:rsid w:val="00E14BCD"/>
    <w:rsid w:val="00E155CF"/>
    <w:rsid w:val="00E156EA"/>
    <w:rsid w:val="00E162D1"/>
    <w:rsid w:val="00E167BF"/>
    <w:rsid w:val="00E167EB"/>
    <w:rsid w:val="00E16940"/>
    <w:rsid w:val="00E16A30"/>
    <w:rsid w:val="00E16CFF"/>
    <w:rsid w:val="00E1769E"/>
    <w:rsid w:val="00E206B6"/>
    <w:rsid w:val="00E20777"/>
    <w:rsid w:val="00E2089B"/>
    <w:rsid w:val="00E20920"/>
    <w:rsid w:val="00E212B1"/>
    <w:rsid w:val="00E21423"/>
    <w:rsid w:val="00E2147F"/>
    <w:rsid w:val="00E219F3"/>
    <w:rsid w:val="00E219F7"/>
    <w:rsid w:val="00E223E5"/>
    <w:rsid w:val="00E2275F"/>
    <w:rsid w:val="00E2317C"/>
    <w:rsid w:val="00E23595"/>
    <w:rsid w:val="00E23701"/>
    <w:rsid w:val="00E241EF"/>
    <w:rsid w:val="00E243A9"/>
    <w:rsid w:val="00E2489D"/>
    <w:rsid w:val="00E249C8"/>
    <w:rsid w:val="00E24E50"/>
    <w:rsid w:val="00E25163"/>
    <w:rsid w:val="00E2543E"/>
    <w:rsid w:val="00E2547F"/>
    <w:rsid w:val="00E2567E"/>
    <w:rsid w:val="00E25751"/>
    <w:rsid w:val="00E258C4"/>
    <w:rsid w:val="00E25CC8"/>
    <w:rsid w:val="00E25D60"/>
    <w:rsid w:val="00E2651A"/>
    <w:rsid w:val="00E26DC1"/>
    <w:rsid w:val="00E2724C"/>
    <w:rsid w:val="00E2731F"/>
    <w:rsid w:val="00E27484"/>
    <w:rsid w:val="00E27623"/>
    <w:rsid w:val="00E27B97"/>
    <w:rsid w:val="00E27BE1"/>
    <w:rsid w:val="00E3027B"/>
    <w:rsid w:val="00E303D9"/>
    <w:rsid w:val="00E304D7"/>
    <w:rsid w:val="00E3072E"/>
    <w:rsid w:val="00E3079F"/>
    <w:rsid w:val="00E30AA3"/>
    <w:rsid w:val="00E30AB7"/>
    <w:rsid w:val="00E30F53"/>
    <w:rsid w:val="00E30FF1"/>
    <w:rsid w:val="00E31395"/>
    <w:rsid w:val="00E3166C"/>
    <w:rsid w:val="00E3178D"/>
    <w:rsid w:val="00E319E2"/>
    <w:rsid w:val="00E31D71"/>
    <w:rsid w:val="00E31DC3"/>
    <w:rsid w:val="00E3200E"/>
    <w:rsid w:val="00E322C5"/>
    <w:rsid w:val="00E323FD"/>
    <w:rsid w:val="00E32480"/>
    <w:rsid w:val="00E32646"/>
    <w:rsid w:val="00E3265D"/>
    <w:rsid w:val="00E326C9"/>
    <w:rsid w:val="00E326E6"/>
    <w:rsid w:val="00E32EEC"/>
    <w:rsid w:val="00E3301A"/>
    <w:rsid w:val="00E33822"/>
    <w:rsid w:val="00E33915"/>
    <w:rsid w:val="00E33B7F"/>
    <w:rsid w:val="00E33BC0"/>
    <w:rsid w:val="00E33D93"/>
    <w:rsid w:val="00E342D3"/>
    <w:rsid w:val="00E34625"/>
    <w:rsid w:val="00E35336"/>
    <w:rsid w:val="00E35402"/>
    <w:rsid w:val="00E35D96"/>
    <w:rsid w:val="00E35F98"/>
    <w:rsid w:val="00E35FC9"/>
    <w:rsid w:val="00E365C0"/>
    <w:rsid w:val="00E36888"/>
    <w:rsid w:val="00E36A11"/>
    <w:rsid w:val="00E36F80"/>
    <w:rsid w:val="00E37245"/>
    <w:rsid w:val="00E40350"/>
    <w:rsid w:val="00E40617"/>
    <w:rsid w:val="00E4078A"/>
    <w:rsid w:val="00E40905"/>
    <w:rsid w:val="00E4094A"/>
    <w:rsid w:val="00E41865"/>
    <w:rsid w:val="00E41F35"/>
    <w:rsid w:val="00E42163"/>
    <w:rsid w:val="00E423AC"/>
    <w:rsid w:val="00E423AD"/>
    <w:rsid w:val="00E42411"/>
    <w:rsid w:val="00E428E6"/>
    <w:rsid w:val="00E429A9"/>
    <w:rsid w:val="00E42BB6"/>
    <w:rsid w:val="00E42CE1"/>
    <w:rsid w:val="00E433EA"/>
    <w:rsid w:val="00E434F6"/>
    <w:rsid w:val="00E435D3"/>
    <w:rsid w:val="00E43655"/>
    <w:rsid w:val="00E43672"/>
    <w:rsid w:val="00E438A4"/>
    <w:rsid w:val="00E43E86"/>
    <w:rsid w:val="00E447B9"/>
    <w:rsid w:val="00E44B0B"/>
    <w:rsid w:val="00E455CB"/>
    <w:rsid w:val="00E455FF"/>
    <w:rsid w:val="00E45BE4"/>
    <w:rsid w:val="00E45E9D"/>
    <w:rsid w:val="00E46171"/>
    <w:rsid w:val="00E466B4"/>
    <w:rsid w:val="00E46BE7"/>
    <w:rsid w:val="00E470B3"/>
    <w:rsid w:val="00E471C1"/>
    <w:rsid w:val="00E4749E"/>
    <w:rsid w:val="00E47A85"/>
    <w:rsid w:val="00E47ACC"/>
    <w:rsid w:val="00E47D75"/>
    <w:rsid w:val="00E50768"/>
    <w:rsid w:val="00E50CC4"/>
    <w:rsid w:val="00E50FDC"/>
    <w:rsid w:val="00E511BF"/>
    <w:rsid w:val="00E5178C"/>
    <w:rsid w:val="00E51B27"/>
    <w:rsid w:val="00E51B59"/>
    <w:rsid w:val="00E51BFF"/>
    <w:rsid w:val="00E521FD"/>
    <w:rsid w:val="00E52333"/>
    <w:rsid w:val="00E52949"/>
    <w:rsid w:val="00E52E06"/>
    <w:rsid w:val="00E53711"/>
    <w:rsid w:val="00E537AE"/>
    <w:rsid w:val="00E538E3"/>
    <w:rsid w:val="00E53B68"/>
    <w:rsid w:val="00E54BA9"/>
    <w:rsid w:val="00E54BDF"/>
    <w:rsid w:val="00E558DB"/>
    <w:rsid w:val="00E55C40"/>
    <w:rsid w:val="00E56BA2"/>
    <w:rsid w:val="00E5736A"/>
    <w:rsid w:val="00E576E7"/>
    <w:rsid w:val="00E5782D"/>
    <w:rsid w:val="00E57E7E"/>
    <w:rsid w:val="00E600ED"/>
    <w:rsid w:val="00E603CE"/>
    <w:rsid w:val="00E60AD7"/>
    <w:rsid w:val="00E60C19"/>
    <w:rsid w:val="00E60C1D"/>
    <w:rsid w:val="00E60CAD"/>
    <w:rsid w:val="00E60CCA"/>
    <w:rsid w:val="00E60F76"/>
    <w:rsid w:val="00E60FBE"/>
    <w:rsid w:val="00E61216"/>
    <w:rsid w:val="00E61805"/>
    <w:rsid w:val="00E623EF"/>
    <w:rsid w:val="00E6240B"/>
    <w:rsid w:val="00E62E1B"/>
    <w:rsid w:val="00E62E44"/>
    <w:rsid w:val="00E6333D"/>
    <w:rsid w:val="00E63809"/>
    <w:rsid w:val="00E63A99"/>
    <w:rsid w:val="00E63B0D"/>
    <w:rsid w:val="00E640C7"/>
    <w:rsid w:val="00E6413A"/>
    <w:rsid w:val="00E643F8"/>
    <w:rsid w:val="00E64771"/>
    <w:rsid w:val="00E64D62"/>
    <w:rsid w:val="00E650CF"/>
    <w:rsid w:val="00E650D6"/>
    <w:rsid w:val="00E65497"/>
    <w:rsid w:val="00E655F6"/>
    <w:rsid w:val="00E65994"/>
    <w:rsid w:val="00E65D4D"/>
    <w:rsid w:val="00E65D5D"/>
    <w:rsid w:val="00E66681"/>
    <w:rsid w:val="00E667A6"/>
    <w:rsid w:val="00E668E1"/>
    <w:rsid w:val="00E66D09"/>
    <w:rsid w:val="00E66EE0"/>
    <w:rsid w:val="00E66EEA"/>
    <w:rsid w:val="00E66FC8"/>
    <w:rsid w:val="00E67A05"/>
    <w:rsid w:val="00E67C6D"/>
    <w:rsid w:val="00E67ED8"/>
    <w:rsid w:val="00E70085"/>
    <w:rsid w:val="00E7021F"/>
    <w:rsid w:val="00E7032A"/>
    <w:rsid w:val="00E70512"/>
    <w:rsid w:val="00E7079C"/>
    <w:rsid w:val="00E70C26"/>
    <w:rsid w:val="00E70C8E"/>
    <w:rsid w:val="00E70CB1"/>
    <w:rsid w:val="00E70D4F"/>
    <w:rsid w:val="00E7107B"/>
    <w:rsid w:val="00E7177A"/>
    <w:rsid w:val="00E71BA8"/>
    <w:rsid w:val="00E720D0"/>
    <w:rsid w:val="00E721DF"/>
    <w:rsid w:val="00E72260"/>
    <w:rsid w:val="00E723C5"/>
    <w:rsid w:val="00E7260D"/>
    <w:rsid w:val="00E72623"/>
    <w:rsid w:val="00E72879"/>
    <w:rsid w:val="00E7289E"/>
    <w:rsid w:val="00E72906"/>
    <w:rsid w:val="00E72DB6"/>
    <w:rsid w:val="00E72E6E"/>
    <w:rsid w:val="00E7316B"/>
    <w:rsid w:val="00E7318B"/>
    <w:rsid w:val="00E733DC"/>
    <w:rsid w:val="00E734A9"/>
    <w:rsid w:val="00E73C6A"/>
    <w:rsid w:val="00E740D6"/>
    <w:rsid w:val="00E742E7"/>
    <w:rsid w:val="00E74D0A"/>
    <w:rsid w:val="00E75232"/>
    <w:rsid w:val="00E7528F"/>
    <w:rsid w:val="00E75541"/>
    <w:rsid w:val="00E75B40"/>
    <w:rsid w:val="00E75DAD"/>
    <w:rsid w:val="00E75FCB"/>
    <w:rsid w:val="00E76D41"/>
    <w:rsid w:val="00E76E00"/>
    <w:rsid w:val="00E76FD8"/>
    <w:rsid w:val="00E770DE"/>
    <w:rsid w:val="00E77A5C"/>
    <w:rsid w:val="00E77DFD"/>
    <w:rsid w:val="00E77E18"/>
    <w:rsid w:val="00E77F9A"/>
    <w:rsid w:val="00E8090F"/>
    <w:rsid w:val="00E80DEF"/>
    <w:rsid w:val="00E810E3"/>
    <w:rsid w:val="00E81452"/>
    <w:rsid w:val="00E81820"/>
    <w:rsid w:val="00E81A1F"/>
    <w:rsid w:val="00E81BDA"/>
    <w:rsid w:val="00E823B4"/>
    <w:rsid w:val="00E82766"/>
    <w:rsid w:val="00E827F8"/>
    <w:rsid w:val="00E830B9"/>
    <w:rsid w:val="00E832BC"/>
    <w:rsid w:val="00E83A2D"/>
    <w:rsid w:val="00E83D52"/>
    <w:rsid w:val="00E83D66"/>
    <w:rsid w:val="00E83FC2"/>
    <w:rsid w:val="00E84050"/>
    <w:rsid w:val="00E840F6"/>
    <w:rsid w:val="00E84120"/>
    <w:rsid w:val="00E84660"/>
    <w:rsid w:val="00E85036"/>
    <w:rsid w:val="00E85715"/>
    <w:rsid w:val="00E85DCA"/>
    <w:rsid w:val="00E85F0C"/>
    <w:rsid w:val="00E85F7E"/>
    <w:rsid w:val="00E866A1"/>
    <w:rsid w:val="00E866CD"/>
    <w:rsid w:val="00E869C8"/>
    <w:rsid w:val="00E86B08"/>
    <w:rsid w:val="00E86B19"/>
    <w:rsid w:val="00E86E05"/>
    <w:rsid w:val="00E8781E"/>
    <w:rsid w:val="00E879E5"/>
    <w:rsid w:val="00E90063"/>
    <w:rsid w:val="00E9011A"/>
    <w:rsid w:val="00E90784"/>
    <w:rsid w:val="00E909C5"/>
    <w:rsid w:val="00E90C00"/>
    <w:rsid w:val="00E90DB2"/>
    <w:rsid w:val="00E90DCD"/>
    <w:rsid w:val="00E91B51"/>
    <w:rsid w:val="00E921B2"/>
    <w:rsid w:val="00E92320"/>
    <w:rsid w:val="00E9262B"/>
    <w:rsid w:val="00E929DB"/>
    <w:rsid w:val="00E92A41"/>
    <w:rsid w:val="00E92AA2"/>
    <w:rsid w:val="00E92DFE"/>
    <w:rsid w:val="00E932A5"/>
    <w:rsid w:val="00E93644"/>
    <w:rsid w:val="00E9379D"/>
    <w:rsid w:val="00E945AD"/>
    <w:rsid w:val="00E9472C"/>
    <w:rsid w:val="00E9493B"/>
    <w:rsid w:val="00E951E5"/>
    <w:rsid w:val="00E951E9"/>
    <w:rsid w:val="00E9578D"/>
    <w:rsid w:val="00E9580E"/>
    <w:rsid w:val="00E958A2"/>
    <w:rsid w:val="00E95AB2"/>
    <w:rsid w:val="00E95E86"/>
    <w:rsid w:val="00E9656D"/>
    <w:rsid w:val="00E96821"/>
    <w:rsid w:val="00E96B94"/>
    <w:rsid w:val="00E96C26"/>
    <w:rsid w:val="00E96F22"/>
    <w:rsid w:val="00E9748D"/>
    <w:rsid w:val="00E97497"/>
    <w:rsid w:val="00EA032B"/>
    <w:rsid w:val="00EA03BF"/>
    <w:rsid w:val="00EA049C"/>
    <w:rsid w:val="00EA0647"/>
    <w:rsid w:val="00EA0673"/>
    <w:rsid w:val="00EA0972"/>
    <w:rsid w:val="00EA0C2A"/>
    <w:rsid w:val="00EA0E46"/>
    <w:rsid w:val="00EA0EF1"/>
    <w:rsid w:val="00EA0F75"/>
    <w:rsid w:val="00EA1A68"/>
    <w:rsid w:val="00EA1A78"/>
    <w:rsid w:val="00EA22D8"/>
    <w:rsid w:val="00EA23A6"/>
    <w:rsid w:val="00EA2673"/>
    <w:rsid w:val="00EA28C4"/>
    <w:rsid w:val="00EA2979"/>
    <w:rsid w:val="00EA2A3F"/>
    <w:rsid w:val="00EA2A6B"/>
    <w:rsid w:val="00EA2DE5"/>
    <w:rsid w:val="00EA465F"/>
    <w:rsid w:val="00EA4774"/>
    <w:rsid w:val="00EA4E52"/>
    <w:rsid w:val="00EA50E8"/>
    <w:rsid w:val="00EA53FE"/>
    <w:rsid w:val="00EA5A42"/>
    <w:rsid w:val="00EA6030"/>
    <w:rsid w:val="00EA6239"/>
    <w:rsid w:val="00EA6415"/>
    <w:rsid w:val="00EA6BC2"/>
    <w:rsid w:val="00EA6ECE"/>
    <w:rsid w:val="00EA7EF3"/>
    <w:rsid w:val="00EB01B6"/>
    <w:rsid w:val="00EB0535"/>
    <w:rsid w:val="00EB067B"/>
    <w:rsid w:val="00EB08DC"/>
    <w:rsid w:val="00EB0EEA"/>
    <w:rsid w:val="00EB0FD6"/>
    <w:rsid w:val="00EB12DE"/>
    <w:rsid w:val="00EB16D1"/>
    <w:rsid w:val="00EB1921"/>
    <w:rsid w:val="00EB1B65"/>
    <w:rsid w:val="00EB1B94"/>
    <w:rsid w:val="00EB1E52"/>
    <w:rsid w:val="00EB1F33"/>
    <w:rsid w:val="00EB2A69"/>
    <w:rsid w:val="00EB30AF"/>
    <w:rsid w:val="00EB3577"/>
    <w:rsid w:val="00EB3BED"/>
    <w:rsid w:val="00EB3EEB"/>
    <w:rsid w:val="00EB3EEE"/>
    <w:rsid w:val="00EB4250"/>
    <w:rsid w:val="00EB4892"/>
    <w:rsid w:val="00EB4DFD"/>
    <w:rsid w:val="00EB4FE2"/>
    <w:rsid w:val="00EB5205"/>
    <w:rsid w:val="00EB5308"/>
    <w:rsid w:val="00EB558A"/>
    <w:rsid w:val="00EB59FE"/>
    <w:rsid w:val="00EB5F43"/>
    <w:rsid w:val="00EB65F4"/>
    <w:rsid w:val="00EB6CEC"/>
    <w:rsid w:val="00EB6EEE"/>
    <w:rsid w:val="00EB786B"/>
    <w:rsid w:val="00EB7959"/>
    <w:rsid w:val="00EB7D0D"/>
    <w:rsid w:val="00EB7DCD"/>
    <w:rsid w:val="00EB7ED2"/>
    <w:rsid w:val="00EC0335"/>
    <w:rsid w:val="00EC0716"/>
    <w:rsid w:val="00EC0D50"/>
    <w:rsid w:val="00EC1247"/>
    <w:rsid w:val="00EC1605"/>
    <w:rsid w:val="00EC16AA"/>
    <w:rsid w:val="00EC1A7E"/>
    <w:rsid w:val="00EC1C4E"/>
    <w:rsid w:val="00EC1DE0"/>
    <w:rsid w:val="00EC1DF4"/>
    <w:rsid w:val="00EC1E2F"/>
    <w:rsid w:val="00EC1F3F"/>
    <w:rsid w:val="00EC2286"/>
    <w:rsid w:val="00EC24AE"/>
    <w:rsid w:val="00EC2611"/>
    <w:rsid w:val="00EC2A4D"/>
    <w:rsid w:val="00EC2B08"/>
    <w:rsid w:val="00EC2C25"/>
    <w:rsid w:val="00EC2E06"/>
    <w:rsid w:val="00EC308D"/>
    <w:rsid w:val="00EC316E"/>
    <w:rsid w:val="00EC3C72"/>
    <w:rsid w:val="00EC3E3E"/>
    <w:rsid w:val="00EC42DC"/>
    <w:rsid w:val="00EC431B"/>
    <w:rsid w:val="00EC47BC"/>
    <w:rsid w:val="00EC4D25"/>
    <w:rsid w:val="00EC4D83"/>
    <w:rsid w:val="00EC4DCC"/>
    <w:rsid w:val="00EC56FE"/>
    <w:rsid w:val="00EC5EA3"/>
    <w:rsid w:val="00EC617F"/>
    <w:rsid w:val="00EC635A"/>
    <w:rsid w:val="00EC68F6"/>
    <w:rsid w:val="00EC6A11"/>
    <w:rsid w:val="00EC6CDB"/>
    <w:rsid w:val="00EC7351"/>
    <w:rsid w:val="00EC73DD"/>
    <w:rsid w:val="00EC7642"/>
    <w:rsid w:val="00ED05B4"/>
    <w:rsid w:val="00ED0729"/>
    <w:rsid w:val="00ED08BE"/>
    <w:rsid w:val="00ED098C"/>
    <w:rsid w:val="00ED0C3B"/>
    <w:rsid w:val="00ED1147"/>
    <w:rsid w:val="00ED16BE"/>
    <w:rsid w:val="00ED1CF2"/>
    <w:rsid w:val="00ED1D07"/>
    <w:rsid w:val="00ED1E08"/>
    <w:rsid w:val="00ED2177"/>
    <w:rsid w:val="00ED2466"/>
    <w:rsid w:val="00ED25D1"/>
    <w:rsid w:val="00ED25FF"/>
    <w:rsid w:val="00ED2C89"/>
    <w:rsid w:val="00ED37FD"/>
    <w:rsid w:val="00ED3B3A"/>
    <w:rsid w:val="00ED3CCD"/>
    <w:rsid w:val="00ED3D9F"/>
    <w:rsid w:val="00ED3F08"/>
    <w:rsid w:val="00ED44C6"/>
    <w:rsid w:val="00ED45DD"/>
    <w:rsid w:val="00ED492D"/>
    <w:rsid w:val="00ED4E5C"/>
    <w:rsid w:val="00ED531F"/>
    <w:rsid w:val="00ED794B"/>
    <w:rsid w:val="00ED7CC6"/>
    <w:rsid w:val="00EE0181"/>
    <w:rsid w:val="00EE0645"/>
    <w:rsid w:val="00EE0661"/>
    <w:rsid w:val="00EE067E"/>
    <w:rsid w:val="00EE089C"/>
    <w:rsid w:val="00EE1308"/>
    <w:rsid w:val="00EE1376"/>
    <w:rsid w:val="00EE1895"/>
    <w:rsid w:val="00EE1947"/>
    <w:rsid w:val="00EE1DFE"/>
    <w:rsid w:val="00EE1ECD"/>
    <w:rsid w:val="00EE2069"/>
    <w:rsid w:val="00EE217E"/>
    <w:rsid w:val="00EE21B8"/>
    <w:rsid w:val="00EE25FE"/>
    <w:rsid w:val="00EE2624"/>
    <w:rsid w:val="00EE262E"/>
    <w:rsid w:val="00EE2917"/>
    <w:rsid w:val="00EE2AF4"/>
    <w:rsid w:val="00EE2BF0"/>
    <w:rsid w:val="00EE30F9"/>
    <w:rsid w:val="00EE35A2"/>
    <w:rsid w:val="00EE374E"/>
    <w:rsid w:val="00EE3CB5"/>
    <w:rsid w:val="00EE3CFE"/>
    <w:rsid w:val="00EE3F61"/>
    <w:rsid w:val="00EE4266"/>
    <w:rsid w:val="00EE433F"/>
    <w:rsid w:val="00EE4540"/>
    <w:rsid w:val="00EE45EF"/>
    <w:rsid w:val="00EE47A6"/>
    <w:rsid w:val="00EE4B9E"/>
    <w:rsid w:val="00EE4D52"/>
    <w:rsid w:val="00EE529C"/>
    <w:rsid w:val="00EE567E"/>
    <w:rsid w:val="00EE5867"/>
    <w:rsid w:val="00EE5B6B"/>
    <w:rsid w:val="00EE617B"/>
    <w:rsid w:val="00EE6346"/>
    <w:rsid w:val="00EE640B"/>
    <w:rsid w:val="00EE68F4"/>
    <w:rsid w:val="00EE6997"/>
    <w:rsid w:val="00EE76F3"/>
    <w:rsid w:val="00EE7C68"/>
    <w:rsid w:val="00EE7CC4"/>
    <w:rsid w:val="00EE7D52"/>
    <w:rsid w:val="00EE7D8D"/>
    <w:rsid w:val="00EE7FC6"/>
    <w:rsid w:val="00EF004D"/>
    <w:rsid w:val="00EF022F"/>
    <w:rsid w:val="00EF07C0"/>
    <w:rsid w:val="00EF1162"/>
    <w:rsid w:val="00EF1184"/>
    <w:rsid w:val="00EF11F0"/>
    <w:rsid w:val="00EF1947"/>
    <w:rsid w:val="00EF1E30"/>
    <w:rsid w:val="00EF1E4D"/>
    <w:rsid w:val="00EF21BD"/>
    <w:rsid w:val="00EF271C"/>
    <w:rsid w:val="00EF2810"/>
    <w:rsid w:val="00EF2863"/>
    <w:rsid w:val="00EF2A0D"/>
    <w:rsid w:val="00EF307C"/>
    <w:rsid w:val="00EF380B"/>
    <w:rsid w:val="00EF38C5"/>
    <w:rsid w:val="00EF3B68"/>
    <w:rsid w:val="00EF3F7A"/>
    <w:rsid w:val="00EF4170"/>
    <w:rsid w:val="00EF451B"/>
    <w:rsid w:val="00EF49C7"/>
    <w:rsid w:val="00EF4C78"/>
    <w:rsid w:val="00EF5168"/>
    <w:rsid w:val="00EF51C8"/>
    <w:rsid w:val="00EF5204"/>
    <w:rsid w:val="00EF5A18"/>
    <w:rsid w:val="00EF5BA1"/>
    <w:rsid w:val="00EF5D5B"/>
    <w:rsid w:val="00EF5D8D"/>
    <w:rsid w:val="00EF691E"/>
    <w:rsid w:val="00EF6AD7"/>
    <w:rsid w:val="00EF70ED"/>
    <w:rsid w:val="00EF72D8"/>
    <w:rsid w:val="00EF7668"/>
    <w:rsid w:val="00EF7867"/>
    <w:rsid w:val="00EF7A5A"/>
    <w:rsid w:val="00F0025D"/>
    <w:rsid w:val="00F00293"/>
    <w:rsid w:val="00F0043C"/>
    <w:rsid w:val="00F00A12"/>
    <w:rsid w:val="00F00BC4"/>
    <w:rsid w:val="00F00EC8"/>
    <w:rsid w:val="00F00F1B"/>
    <w:rsid w:val="00F010A6"/>
    <w:rsid w:val="00F01186"/>
    <w:rsid w:val="00F01409"/>
    <w:rsid w:val="00F015CB"/>
    <w:rsid w:val="00F01925"/>
    <w:rsid w:val="00F01A0C"/>
    <w:rsid w:val="00F01E42"/>
    <w:rsid w:val="00F020B2"/>
    <w:rsid w:val="00F024BA"/>
    <w:rsid w:val="00F02D1B"/>
    <w:rsid w:val="00F03068"/>
    <w:rsid w:val="00F03525"/>
    <w:rsid w:val="00F03631"/>
    <w:rsid w:val="00F03668"/>
    <w:rsid w:val="00F03926"/>
    <w:rsid w:val="00F03950"/>
    <w:rsid w:val="00F040B7"/>
    <w:rsid w:val="00F04361"/>
    <w:rsid w:val="00F043B6"/>
    <w:rsid w:val="00F045A9"/>
    <w:rsid w:val="00F04676"/>
    <w:rsid w:val="00F04A9F"/>
    <w:rsid w:val="00F04AF2"/>
    <w:rsid w:val="00F057E0"/>
    <w:rsid w:val="00F05B64"/>
    <w:rsid w:val="00F05C8F"/>
    <w:rsid w:val="00F05D1E"/>
    <w:rsid w:val="00F05D81"/>
    <w:rsid w:val="00F0682E"/>
    <w:rsid w:val="00F06896"/>
    <w:rsid w:val="00F069BE"/>
    <w:rsid w:val="00F06C00"/>
    <w:rsid w:val="00F06ECA"/>
    <w:rsid w:val="00F070B0"/>
    <w:rsid w:val="00F07925"/>
    <w:rsid w:val="00F07A25"/>
    <w:rsid w:val="00F07EAE"/>
    <w:rsid w:val="00F10215"/>
    <w:rsid w:val="00F103DF"/>
    <w:rsid w:val="00F10964"/>
    <w:rsid w:val="00F10BFB"/>
    <w:rsid w:val="00F1131B"/>
    <w:rsid w:val="00F11E2B"/>
    <w:rsid w:val="00F120BB"/>
    <w:rsid w:val="00F12352"/>
    <w:rsid w:val="00F124D4"/>
    <w:rsid w:val="00F12691"/>
    <w:rsid w:val="00F1328F"/>
    <w:rsid w:val="00F13365"/>
    <w:rsid w:val="00F13586"/>
    <w:rsid w:val="00F139C5"/>
    <w:rsid w:val="00F139ED"/>
    <w:rsid w:val="00F13B2B"/>
    <w:rsid w:val="00F14700"/>
    <w:rsid w:val="00F147C7"/>
    <w:rsid w:val="00F1484D"/>
    <w:rsid w:val="00F14959"/>
    <w:rsid w:val="00F14E51"/>
    <w:rsid w:val="00F1557B"/>
    <w:rsid w:val="00F15605"/>
    <w:rsid w:val="00F15935"/>
    <w:rsid w:val="00F15D23"/>
    <w:rsid w:val="00F15F86"/>
    <w:rsid w:val="00F16A08"/>
    <w:rsid w:val="00F17103"/>
    <w:rsid w:val="00F17466"/>
    <w:rsid w:val="00F175C6"/>
    <w:rsid w:val="00F17757"/>
    <w:rsid w:val="00F17B60"/>
    <w:rsid w:val="00F17E59"/>
    <w:rsid w:val="00F17EC7"/>
    <w:rsid w:val="00F20F81"/>
    <w:rsid w:val="00F21337"/>
    <w:rsid w:val="00F2158F"/>
    <w:rsid w:val="00F217F3"/>
    <w:rsid w:val="00F21CC8"/>
    <w:rsid w:val="00F21F52"/>
    <w:rsid w:val="00F22320"/>
    <w:rsid w:val="00F223B1"/>
    <w:rsid w:val="00F22B52"/>
    <w:rsid w:val="00F22FA7"/>
    <w:rsid w:val="00F22FE6"/>
    <w:rsid w:val="00F237EE"/>
    <w:rsid w:val="00F23B0E"/>
    <w:rsid w:val="00F24053"/>
    <w:rsid w:val="00F242AB"/>
    <w:rsid w:val="00F24433"/>
    <w:rsid w:val="00F24516"/>
    <w:rsid w:val="00F24730"/>
    <w:rsid w:val="00F248FC"/>
    <w:rsid w:val="00F24A94"/>
    <w:rsid w:val="00F24BAA"/>
    <w:rsid w:val="00F24CDF"/>
    <w:rsid w:val="00F255D9"/>
    <w:rsid w:val="00F25803"/>
    <w:rsid w:val="00F260E2"/>
    <w:rsid w:val="00F26607"/>
    <w:rsid w:val="00F267B5"/>
    <w:rsid w:val="00F26817"/>
    <w:rsid w:val="00F2693C"/>
    <w:rsid w:val="00F26CA6"/>
    <w:rsid w:val="00F26E6F"/>
    <w:rsid w:val="00F27084"/>
    <w:rsid w:val="00F27442"/>
    <w:rsid w:val="00F27780"/>
    <w:rsid w:val="00F27812"/>
    <w:rsid w:val="00F27B1B"/>
    <w:rsid w:val="00F27FDB"/>
    <w:rsid w:val="00F30324"/>
    <w:rsid w:val="00F305D9"/>
    <w:rsid w:val="00F30B64"/>
    <w:rsid w:val="00F3114E"/>
    <w:rsid w:val="00F3129B"/>
    <w:rsid w:val="00F3136D"/>
    <w:rsid w:val="00F314C6"/>
    <w:rsid w:val="00F319AE"/>
    <w:rsid w:val="00F31B81"/>
    <w:rsid w:val="00F31F11"/>
    <w:rsid w:val="00F3208C"/>
    <w:rsid w:val="00F323BC"/>
    <w:rsid w:val="00F323EA"/>
    <w:rsid w:val="00F324EF"/>
    <w:rsid w:val="00F32605"/>
    <w:rsid w:val="00F328BA"/>
    <w:rsid w:val="00F32FDD"/>
    <w:rsid w:val="00F33212"/>
    <w:rsid w:val="00F337EA"/>
    <w:rsid w:val="00F33859"/>
    <w:rsid w:val="00F339B1"/>
    <w:rsid w:val="00F33DB9"/>
    <w:rsid w:val="00F3437D"/>
    <w:rsid w:val="00F346CD"/>
    <w:rsid w:val="00F34B9D"/>
    <w:rsid w:val="00F34BF2"/>
    <w:rsid w:val="00F34CE7"/>
    <w:rsid w:val="00F354A1"/>
    <w:rsid w:val="00F357EF"/>
    <w:rsid w:val="00F35AAC"/>
    <w:rsid w:val="00F35C08"/>
    <w:rsid w:val="00F35CE4"/>
    <w:rsid w:val="00F35CE5"/>
    <w:rsid w:val="00F35D37"/>
    <w:rsid w:val="00F3630B"/>
    <w:rsid w:val="00F365FF"/>
    <w:rsid w:val="00F36962"/>
    <w:rsid w:val="00F36B6A"/>
    <w:rsid w:val="00F36B75"/>
    <w:rsid w:val="00F36E27"/>
    <w:rsid w:val="00F36E7E"/>
    <w:rsid w:val="00F36EE0"/>
    <w:rsid w:val="00F37144"/>
    <w:rsid w:val="00F373F2"/>
    <w:rsid w:val="00F37447"/>
    <w:rsid w:val="00F37C91"/>
    <w:rsid w:val="00F37E36"/>
    <w:rsid w:val="00F37EF0"/>
    <w:rsid w:val="00F407E3"/>
    <w:rsid w:val="00F4083A"/>
    <w:rsid w:val="00F414A3"/>
    <w:rsid w:val="00F416C8"/>
    <w:rsid w:val="00F42D16"/>
    <w:rsid w:val="00F43236"/>
    <w:rsid w:val="00F435B5"/>
    <w:rsid w:val="00F4387F"/>
    <w:rsid w:val="00F43924"/>
    <w:rsid w:val="00F442E8"/>
    <w:rsid w:val="00F443A7"/>
    <w:rsid w:val="00F44435"/>
    <w:rsid w:val="00F4513D"/>
    <w:rsid w:val="00F4537F"/>
    <w:rsid w:val="00F454E0"/>
    <w:rsid w:val="00F458B7"/>
    <w:rsid w:val="00F45C11"/>
    <w:rsid w:val="00F45C37"/>
    <w:rsid w:val="00F46305"/>
    <w:rsid w:val="00F4632A"/>
    <w:rsid w:val="00F4647F"/>
    <w:rsid w:val="00F469D4"/>
    <w:rsid w:val="00F46F19"/>
    <w:rsid w:val="00F47198"/>
    <w:rsid w:val="00F4745C"/>
    <w:rsid w:val="00F477EA"/>
    <w:rsid w:val="00F4784A"/>
    <w:rsid w:val="00F5034A"/>
    <w:rsid w:val="00F50ACB"/>
    <w:rsid w:val="00F50BAA"/>
    <w:rsid w:val="00F50D88"/>
    <w:rsid w:val="00F5106D"/>
    <w:rsid w:val="00F51867"/>
    <w:rsid w:val="00F51932"/>
    <w:rsid w:val="00F51A1B"/>
    <w:rsid w:val="00F51AAB"/>
    <w:rsid w:val="00F51DFD"/>
    <w:rsid w:val="00F52767"/>
    <w:rsid w:val="00F52952"/>
    <w:rsid w:val="00F52E1D"/>
    <w:rsid w:val="00F52FB7"/>
    <w:rsid w:val="00F53063"/>
    <w:rsid w:val="00F53426"/>
    <w:rsid w:val="00F5399A"/>
    <w:rsid w:val="00F53A15"/>
    <w:rsid w:val="00F53EE1"/>
    <w:rsid w:val="00F53FB0"/>
    <w:rsid w:val="00F5443C"/>
    <w:rsid w:val="00F54466"/>
    <w:rsid w:val="00F546ED"/>
    <w:rsid w:val="00F54895"/>
    <w:rsid w:val="00F5492B"/>
    <w:rsid w:val="00F54BD2"/>
    <w:rsid w:val="00F54BDF"/>
    <w:rsid w:val="00F554DC"/>
    <w:rsid w:val="00F555C6"/>
    <w:rsid w:val="00F5575C"/>
    <w:rsid w:val="00F558DD"/>
    <w:rsid w:val="00F55B85"/>
    <w:rsid w:val="00F55F97"/>
    <w:rsid w:val="00F5604E"/>
    <w:rsid w:val="00F56522"/>
    <w:rsid w:val="00F56D5D"/>
    <w:rsid w:val="00F56F18"/>
    <w:rsid w:val="00F5721A"/>
    <w:rsid w:val="00F57D22"/>
    <w:rsid w:val="00F57D38"/>
    <w:rsid w:val="00F57F7E"/>
    <w:rsid w:val="00F60183"/>
    <w:rsid w:val="00F60188"/>
    <w:rsid w:val="00F60338"/>
    <w:rsid w:val="00F604DA"/>
    <w:rsid w:val="00F60524"/>
    <w:rsid w:val="00F60626"/>
    <w:rsid w:val="00F608D7"/>
    <w:rsid w:val="00F60B15"/>
    <w:rsid w:val="00F61995"/>
    <w:rsid w:val="00F61AF6"/>
    <w:rsid w:val="00F61B21"/>
    <w:rsid w:val="00F6210B"/>
    <w:rsid w:val="00F62709"/>
    <w:rsid w:val="00F630CF"/>
    <w:rsid w:val="00F63494"/>
    <w:rsid w:val="00F63509"/>
    <w:rsid w:val="00F6382F"/>
    <w:rsid w:val="00F638E0"/>
    <w:rsid w:val="00F641F0"/>
    <w:rsid w:val="00F6428D"/>
    <w:rsid w:val="00F649D3"/>
    <w:rsid w:val="00F64BC3"/>
    <w:rsid w:val="00F64C65"/>
    <w:rsid w:val="00F64D32"/>
    <w:rsid w:val="00F6508C"/>
    <w:rsid w:val="00F6509E"/>
    <w:rsid w:val="00F6534B"/>
    <w:rsid w:val="00F65507"/>
    <w:rsid w:val="00F65BF0"/>
    <w:rsid w:val="00F65C75"/>
    <w:rsid w:val="00F65DF5"/>
    <w:rsid w:val="00F6643C"/>
    <w:rsid w:val="00F66787"/>
    <w:rsid w:val="00F66E1D"/>
    <w:rsid w:val="00F67323"/>
    <w:rsid w:val="00F674E7"/>
    <w:rsid w:val="00F6793B"/>
    <w:rsid w:val="00F6797E"/>
    <w:rsid w:val="00F67AE1"/>
    <w:rsid w:val="00F70353"/>
    <w:rsid w:val="00F70E5D"/>
    <w:rsid w:val="00F710D6"/>
    <w:rsid w:val="00F7159D"/>
    <w:rsid w:val="00F71A07"/>
    <w:rsid w:val="00F71A58"/>
    <w:rsid w:val="00F71DF4"/>
    <w:rsid w:val="00F72637"/>
    <w:rsid w:val="00F72BC3"/>
    <w:rsid w:val="00F72C71"/>
    <w:rsid w:val="00F72E7A"/>
    <w:rsid w:val="00F730CF"/>
    <w:rsid w:val="00F7344D"/>
    <w:rsid w:val="00F73622"/>
    <w:rsid w:val="00F737AB"/>
    <w:rsid w:val="00F73C67"/>
    <w:rsid w:val="00F74FD3"/>
    <w:rsid w:val="00F7523A"/>
    <w:rsid w:val="00F75678"/>
    <w:rsid w:val="00F758D7"/>
    <w:rsid w:val="00F75B3D"/>
    <w:rsid w:val="00F75D53"/>
    <w:rsid w:val="00F75DD8"/>
    <w:rsid w:val="00F7607D"/>
    <w:rsid w:val="00F7617F"/>
    <w:rsid w:val="00F76503"/>
    <w:rsid w:val="00F766CC"/>
    <w:rsid w:val="00F76980"/>
    <w:rsid w:val="00F769E0"/>
    <w:rsid w:val="00F76A59"/>
    <w:rsid w:val="00F76B68"/>
    <w:rsid w:val="00F76D2A"/>
    <w:rsid w:val="00F76FC0"/>
    <w:rsid w:val="00F772BB"/>
    <w:rsid w:val="00F77358"/>
    <w:rsid w:val="00F77E0E"/>
    <w:rsid w:val="00F77E53"/>
    <w:rsid w:val="00F80443"/>
    <w:rsid w:val="00F8048A"/>
    <w:rsid w:val="00F804D9"/>
    <w:rsid w:val="00F806A9"/>
    <w:rsid w:val="00F80BB4"/>
    <w:rsid w:val="00F80CC6"/>
    <w:rsid w:val="00F816BE"/>
    <w:rsid w:val="00F81D9E"/>
    <w:rsid w:val="00F81DFD"/>
    <w:rsid w:val="00F82157"/>
    <w:rsid w:val="00F824D6"/>
    <w:rsid w:val="00F8263C"/>
    <w:rsid w:val="00F82904"/>
    <w:rsid w:val="00F82FC5"/>
    <w:rsid w:val="00F837FA"/>
    <w:rsid w:val="00F83E91"/>
    <w:rsid w:val="00F848D7"/>
    <w:rsid w:val="00F85261"/>
    <w:rsid w:val="00F85B29"/>
    <w:rsid w:val="00F85ED3"/>
    <w:rsid w:val="00F86182"/>
    <w:rsid w:val="00F87C96"/>
    <w:rsid w:val="00F90437"/>
    <w:rsid w:val="00F9055A"/>
    <w:rsid w:val="00F905E6"/>
    <w:rsid w:val="00F9126B"/>
    <w:rsid w:val="00F9132B"/>
    <w:rsid w:val="00F916A6"/>
    <w:rsid w:val="00F917D9"/>
    <w:rsid w:val="00F917F2"/>
    <w:rsid w:val="00F91AEC"/>
    <w:rsid w:val="00F92375"/>
    <w:rsid w:val="00F92ADF"/>
    <w:rsid w:val="00F92BF7"/>
    <w:rsid w:val="00F92EE1"/>
    <w:rsid w:val="00F9312E"/>
    <w:rsid w:val="00F9339F"/>
    <w:rsid w:val="00F9362D"/>
    <w:rsid w:val="00F93C60"/>
    <w:rsid w:val="00F93C90"/>
    <w:rsid w:val="00F94259"/>
    <w:rsid w:val="00F9449D"/>
    <w:rsid w:val="00F94D0E"/>
    <w:rsid w:val="00F94DA9"/>
    <w:rsid w:val="00F94FEE"/>
    <w:rsid w:val="00F95C63"/>
    <w:rsid w:val="00F95FC3"/>
    <w:rsid w:val="00F9600B"/>
    <w:rsid w:val="00F960BC"/>
    <w:rsid w:val="00F966FC"/>
    <w:rsid w:val="00F9686A"/>
    <w:rsid w:val="00F96C5C"/>
    <w:rsid w:val="00F97132"/>
    <w:rsid w:val="00F97143"/>
    <w:rsid w:val="00F97171"/>
    <w:rsid w:val="00F971A4"/>
    <w:rsid w:val="00F97A17"/>
    <w:rsid w:val="00F97A73"/>
    <w:rsid w:val="00F97D94"/>
    <w:rsid w:val="00FA041F"/>
    <w:rsid w:val="00FA09F4"/>
    <w:rsid w:val="00FA0A4D"/>
    <w:rsid w:val="00FA1141"/>
    <w:rsid w:val="00FA12B6"/>
    <w:rsid w:val="00FA2406"/>
    <w:rsid w:val="00FA25D2"/>
    <w:rsid w:val="00FA28D5"/>
    <w:rsid w:val="00FA2C6E"/>
    <w:rsid w:val="00FA2C7C"/>
    <w:rsid w:val="00FA2F3D"/>
    <w:rsid w:val="00FA2FAB"/>
    <w:rsid w:val="00FA2FE2"/>
    <w:rsid w:val="00FA364C"/>
    <w:rsid w:val="00FA379D"/>
    <w:rsid w:val="00FA3ED8"/>
    <w:rsid w:val="00FA4318"/>
    <w:rsid w:val="00FA47AB"/>
    <w:rsid w:val="00FA48AF"/>
    <w:rsid w:val="00FA4A38"/>
    <w:rsid w:val="00FA4F90"/>
    <w:rsid w:val="00FA5179"/>
    <w:rsid w:val="00FA5304"/>
    <w:rsid w:val="00FA5368"/>
    <w:rsid w:val="00FA5585"/>
    <w:rsid w:val="00FA66AB"/>
    <w:rsid w:val="00FA6834"/>
    <w:rsid w:val="00FA6988"/>
    <w:rsid w:val="00FA69BA"/>
    <w:rsid w:val="00FA69C1"/>
    <w:rsid w:val="00FA6AD2"/>
    <w:rsid w:val="00FA7107"/>
    <w:rsid w:val="00FA7263"/>
    <w:rsid w:val="00FA72EC"/>
    <w:rsid w:val="00FA7ECE"/>
    <w:rsid w:val="00FB0282"/>
    <w:rsid w:val="00FB0458"/>
    <w:rsid w:val="00FB0788"/>
    <w:rsid w:val="00FB0868"/>
    <w:rsid w:val="00FB08A5"/>
    <w:rsid w:val="00FB0E9D"/>
    <w:rsid w:val="00FB0F6F"/>
    <w:rsid w:val="00FB1413"/>
    <w:rsid w:val="00FB145D"/>
    <w:rsid w:val="00FB1686"/>
    <w:rsid w:val="00FB1E50"/>
    <w:rsid w:val="00FB2173"/>
    <w:rsid w:val="00FB2221"/>
    <w:rsid w:val="00FB2624"/>
    <w:rsid w:val="00FB2909"/>
    <w:rsid w:val="00FB2C12"/>
    <w:rsid w:val="00FB350C"/>
    <w:rsid w:val="00FB352D"/>
    <w:rsid w:val="00FB3551"/>
    <w:rsid w:val="00FB39BF"/>
    <w:rsid w:val="00FB3E0D"/>
    <w:rsid w:val="00FB3FCE"/>
    <w:rsid w:val="00FB4B2B"/>
    <w:rsid w:val="00FB4D00"/>
    <w:rsid w:val="00FB5670"/>
    <w:rsid w:val="00FB5CB5"/>
    <w:rsid w:val="00FB5E16"/>
    <w:rsid w:val="00FB6206"/>
    <w:rsid w:val="00FB67C6"/>
    <w:rsid w:val="00FB6D7D"/>
    <w:rsid w:val="00FB6DCB"/>
    <w:rsid w:val="00FB7222"/>
    <w:rsid w:val="00FB72FC"/>
    <w:rsid w:val="00FB75AF"/>
    <w:rsid w:val="00FB75DD"/>
    <w:rsid w:val="00FB7BCD"/>
    <w:rsid w:val="00FC03E1"/>
    <w:rsid w:val="00FC057F"/>
    <w:rsid w:val="00FC0942"/>
    <w:rsid w:val="00FC0D4B"/>
    <w:rsid w:val="00FC10AA"/>
    <w:rsid w:val="00FC1343"/>
    <w:rsid w:val="00FC1421"/>
    <w:rsid w:val="00FC149A"/>
    <w:rsid w:val="00FC17C5"/>
    <w:rsid w:val="00FC20BB"/>
    <w:rsid w:val="00FC2160"/>
    <w:rsid w:val="00FC2451"/>
    <w:rsid w:val="00FC2484"/>
    <w:rsid w:val="00FC285B"/>
    <w:rsid w:val="00FC2962"/>
    <w:rsid w:val="00FC2A89"/>
    <w:rsid w:val="00FC2E06"/>
    <w:rsid w:val="00FC2E2C"/>
    <w:rsid w:val="00FC33B7"/>
    <w:rsid w:val="00FC3401"/>
    <w:rsid w:val="00FC34FF"/>
    <w:rsid w:val="00FC35F9"/>
    <w:rsid w:val="00FC383F"/>
    <w:rsid w:val="00FC3ABF"/>
    <w:rsid w:val="00FC43E5"/>
    <w:rsid w:val="00FC4568"/>
    <w:rsid w:val="00FC4F93"/>
    <w:rsid w:val="00FC5177"/>
    <w:rsid w:val="00FC52FE"/>
    <w:rsid w:val="00FC557F"/>
    <w:rsid w:val="00FC56BC"/>
    <w:rsid w:val="00FC588F"/>
    <w:rsid w:val="00FC5C95"/>
    <w:rsid w:val="00FC5DED"/>
    <w:rsid w:val="00FC5E43"/>
    <w:rsid w:val="00FC6126"/>
    <w:rsid w:val="00FC6683"/>
    <w:rsid w:val="00FC6701"/>
    <w:rsid w:val="00FC6D55"/>
    <w:rsid w:val="00FC6DE2"/>
    <w:rsid w:val="00FC7394"/>
    <w:rsid w:val="00FC739E"/>
    <w:rsid w:val="00FC7501"/>
    <w:rsid w:val="00FC77A4"/>
    <w:rsid w:val="00FC7968"/>
    <w:rsid w:val="00FC7A25"/>
    <w:rsid w:val="00FC7A85"/>
    <w:rsid w:val="00FC7EC2"/>
    <w:rsid w:val="00FD0558"/>
    <w:rsid w:val="00FD0987"/>
    <w:rsid w:val="00FD0B66"/>
    <w:rsid w:val="00FD0D60"/>
    <w:rsid w:val="00FD0E80"/>
    <w:rsid w:val="00FD148B"/>
    <w:rsid w:val="00FD16E4"/>
    <w:rsid w:val="00FD16E7"/>
    <w:rsid w:val="00FD17DB"/>
    <w:rsid w:val="00FD1D83"/>
    <w:rsid w:val="00FD20A1"/>
    <w:rsid w:val="00FD21A9"/>
    <w:rsid w:val="00FD225B"/>
    <w:rsid w:val="00FD27F9"/>
    <w:rsid w:val="00FD2864"/>
    <w:rsid w:val="00FD29B7"/>
    <w:rsid w:val="00FD2EEA"/>
    <w:rsid w:val="00FD30F3"/>
    <w:rsid w:val="00FD33D8"/>
    <w:rsid w:val="00FD40F3"/>
    <w:rsid w:val="00FD5120"/>
    <w:rsid w:val="00FD54CE"/>
    <w:rsid w:val="00FD55A8"/>
    <w:rsid w:val="00FD5738"/>
    <w:rsid w:val="00FD5F84"/>
    <w:rsid w:val="00FD643D"/>
    <w:rsid w:val="00FD67BA"/>
    <w:rsid w:val="00FD6858"/>
    <w:rsid w:val="00FD6A45"/>
    <w:rsid w:val="00FD6A58"/>
    <w:rsid w:val="00FD6E73"/>
    <w:rsid w:val="00FD6FE5"/>
    <w:rsid w:val="00FD7A4B"/>
    <w:rsid w:val="00FD7AC0"/>
    <w:rsid w:val="00FD7BE3"/>
    <w:rsid w:val="00FD7F12"/>
    <w:rsid w:val="00FE0190"/>
    <w:rsid w:val="00FE0316"/>
    <w:rsid w:val="00FE0553"/>
    <w:rsid w:val="00FE0933"/>
    <w:rsid w:val="00FE094B"/>
    <w:rsid w:val="00FE0AD1"/>
    <w:rsid w:val="00FE0AE7"/>
    <w:rsid w:val="00FE0F78"/>
    <w:rsid w:val="00FE15D9"/>
    <w:rsid w:val="00FE2041"/>
    <w:rsid w:val="00FE2133"/>
    <w:rsid w:val="00FE2A8B"/>
    <w:rsid w:val="00FE2EB3"/>
    <w:rsid w:val="00FE324B"/>
    <w:rsid w:val="00FE3286"/>
    <w:rsid w:val="00FE32BD"/>
    <w:rsid w:val="00FE3523"/>
    <w:rsid w:val="00FE352D"/>
    <w:rsid w:val="00FE3629"/>
    <w:rsid w:val="00FE3AEF"/>
    <w:rsid w:val="00FE43CB"/>
    <w:rsid w:val="00FE47F7"/>
    <w:rsid w:val="00FE4EDA"/>
    <w:rsid w:val="00FE4FCF"/>
    <w:rsid w:val="00FE52FA"/>
    <w:rsid w:val="00FE53DB"/>
    <w:rsid w:val="00FE577B"/>
    <w:rsid w:val="00FE5954"/>
    <w:rsid w:val="00FE5B33"/>
    <w:rsid w:val="00FE5B72"/>
    <w:rsid w:val="00FE5EDB"/>
    <w:rsid w:val="00FE632C"/>
    <w:rsid w:val="00FE6653"/>
    <w:rsid w:val="00FE6694"/>
    <w:rsid w:val="00FE69A9"/>
    <w:rsid w:val="00FE7474"/>
    <w:rsid w:val="00FE79DC"/>
    <w:rsid w:val="00FE7CB5"/>
    <w:rsid w:val="00FE7CDF"/>
    <w:rsid w:val="00FE7DAB"/>
    <w:rsid w:val="00FF0059"/>
    <w:rsid w:val="00FF04C9"/>
    <w:rsid w:val="00FF05E8"/>
    <w:rsid w:val="00FF06B5"/>
    <w:rsid w:val="00FF07F8"/>
    <w:rsid w:val="00FF080B"/>
    <w:rsid w:val="00FF08D8"/>
    <w:rsid w:val="00FF0B33"/>
    <w:rsid w:val="00FF103D"/>
    <w:rsid w:val="00FF1059"/>
    <w:rsid w:val="00FF124D"/>
    <w:rsid w:val="00FF1AE1"/>
    <w:rsid w:val="00FF1DFB"/>
    <w:rsid w:val="00FF205D"/>
    <w:rsid w:val="00FF238C"/>
    <w:rsid w:val="00FF25F3"/>
    <w:rsid w:val="00FF2A31"/>
    <w:rsid w:val="00FF2B92"/>
    <w:rsid w:val="00FF34F4"/>
    <w:rsid w:val="00FF394E"/>
    <w:rsid w:val="00FF39EC"/>
    <w:rsid w:val="00FF3C74"/>
    <w:rsid w:val="00FF402F"/>
    <w:rsid w:val="00FF4948"/>
    <w:rsid w:val="00FF51FF"/>
    <w:rsid w:val="00FF52B8"/>
    <w:rsid w:val="00FF56C0"/>
    <w:rsid w:val="00FF5981"/>
    <w:rsid w:val="00FF5A25"/>
    <w:rsid w:val="00FF5A94"/>
    <w:rsid w:val="00FF5C9B"/>
    <w:rsid w:val="00FF5CE2"/>
    <w:rsid w:val="00FF5EA3"/>
    <w:rsid w:val="00FF5FAF"/>
    <w:rsid w:val="00FF5FC4"/>
    <w:rsid w:val="00FF641C"/>
    <w:rsid w:val="00FF6547"/>
    <w:rsid w:val="00FF6AA2"/>
    <w:rsid w:val="00FF6B1B"/>
    <w:rsid w:val="00FF6B3F"/>
    <w:rsid w:val="00FF6CAB"/>
    <w:rsid w:val="00FF6E58"/>
    <w:rsid w:val="00FF75DA"/>
    <w:rsid w:val="00FF7D4C"/>
    <w:rsid w:val="00FF7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2D77"/>
    <w:pPr>
      <w:spacing w:after="240"/>
    </w:pPr>
    <w:rPr>
      <w:sz w:val="24"/>
      <w:szCs w:val="24"/>
    </w:rPr>
  </w:style>
  <w:style w:type="paragraph" w:styleId="Heading1">
    <w:name w:val="heading 1"/>
    <w:basedOn w:val="Normal"/>
    <w:next w:val="Normal"/>
    <w:link w:val="Heading1Char"/>
    <w:qFormat/>
    <w:rsid w:val="00132D77"/>
    <w:pPr>
      <w:keepNext/>
      <w:contextualSpacing/>
      <w:jc w:val="center"/>
      <w:outlineLvl w:val="0"/>
    </w:pPr>
    <w:rPr>
      <w:rFonts w:ascii="Arial" w:hAnsi="Arial" w:cs="Arial"/>
      <w:b/>
      <w:bCs/>
      <w:kern w:val="32"/>
      <w:sz w:val="28"/>
      <w:szCs w:val="32"/>
    </w:rPr>
  </w:style>
  <w:style w:type="paragraph" w:styleId="Heading2">
    <w:name w:val="heading 2"/>
    <w:basedOn w:val="Normal"/>
    <w:next w:val="Normal"/>
    <w:qFormat/>
    <w:rsid w:val="00132D77"/>
    <w:pPr>
      <w:keepNext/>
      <w:spacing w:after="120"/>
      <w:outlineLvl w:val="1"/>
    </w:pPr>
    <w:rPr>
      <w:rFonts w:ascii="Arial" w:hAnsi="Arial" w:cs="Arial"/>
      <w:b/>
      <w:bCs/>
      <w:i/>
      <w:iCs/>
      <w:sz w:val="28"/>
      <w:szCs w:val="28"/>
    </w:rPr>
  </w:style>
  <w:style w:type="paragraph" w:styleId="Heading3">
    <w:name w:val="heading 3"/>
    <w:basedOn w:val="Normal"/>
    <w:qFormat/>
    <w:rsid w:val="00461FE3"/>
    <w:pPr>
      <w:spacing w:after="120"/>
      <w:outlineLvl w:val="2"/>
    </w:pPr>
    <w:rPr>
      <w:rFonts w:ascii="Arial" w:eastAsia="SimSun" w:hAnsi="Arial"/>
      <w:b/>
      <w:bCs/>
      <w:szCs w:val="27"/>
      <w:lang w:eastAsia="zh-CN"/>
    </w:rPr>
  </w:style>
  <w:style w:type="paragraph" w:styleId="Heading4">
    <w:name w:val="heading 4"/>
    <w:basedOn w:val="Normal"/>
    <w:next w:val="Normal"/>
    <w:link w:val="Heading4Char"/>
    <w:semiHidden/>
    <w:unhideWhenUsed/>
    <w:qFormat/>
    <w:rsid w:val="00461F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
    <w:name w:val="Style Heading 1"/>
    <w:basedOn w:val="Normal"/>
    <w:rsid w:val="00157CD1"/>
    <w:pPr>
      <w:spacing w:line="360" w:lineRule="auto"/>
      <w:jc w:val="center"/>
    </w:pPr>
    <w:rPr>
      <w:b/>
      <w:sz w:val="28"/>
    </w:rPr>
  </w:style>
  <w:style w:type="paragraph" w:styleId="Header">
    <w:name w:val="header"/>
    <w:basedOn w:val="Normal"/>
    <w:link w:val="HeaderChar"/>
    <w:uiPriority w:val="99"/>
    <w:rsid w:val="00032A13"/>
    <w:pPr>
      <w:tabs>
        <w:tab w:val="center" w:pos="4320"/>
        <w:tab w:val="right" w:pos="8640"/>
      </w:tabs>
    </w:pPr>
  </w:style>
  <w:style w:type="paragraph" w:styleId="Footer">
    <w:name w:val="footer"/>
    <w:basedOn w:val="Normal"/>
    <w:link w:val="FooterChar"/>
    <w:uiPriority w:val="99"/>
    <w:rsid w:val="00032A13"/>
    <w:pPr>
      <w:tabs>
        <w:tab w:val="center" w:pos="4320"/>
        <w:tab w:val="right" w:pos="8640"/>
      </w:tabs>
    </w:pPr>
  </w:style>
  <w:style w:type="character" w:styleId="CommentReference">
    <w:name w:val="annotation reference"/>
    <w:basedOn w:val="DefaultParagraphFont"/>
    <w:semiHidden/>
    <w:rsid w:val="00423B75"/>
    <w:rPr>
      <w:sz w:val="16"/>
      <w:szCs w:val="16"/>
    </w:rPr>
  </w:style>
  <w:style w:type="paragraph" w:styleId="CommentText">
    <w:name w:val="annotation text"/>
    <w:basedOn w:val="Normal"/>
    <w:semiHidden/>
    <w:rsid w:val="00423B75"/>
    <w:rPr>
      <w:sz w:val="20"/>
      <w:szCs w:val="20"/>
    </w:rPr>
  </w:style>
  <w:style w:type="paragraph" w:styleId="CommentSubject">
    <w:name w:val="annotation subject"/>
    <w:basedOn w:val="CommentText"/>
    <w:next w:val="CommentText"/>
    <w:semiHidden/>
    <w:rsid w:val="00423B75"/>
    <w:rPr>
      <w:b/>
      <w:bCs/>
    </w:rPr>
  </w:style>
  <w:style w:type="paragraph" w:styleId="BalloonText">
    <w:name w:val="Balloon Text"/>
    <w:basedOn w:val="Normal"/>
    <w:semiHidden/>
    <w:rsid w:val="00423B75"/>
    <w:rPr>
      <w:rFonts w:ascii="Tahoma" w:hAnsi="Tahoma" w:cs="Tahoma"/>
      <w:sz w:val="16"/>
      <w:szCs w:val="16"/>
    </w:rPr>
  </w:style>
  <w:style w:type="character" w:styleId="Hyperlink">
    <w:name w:val="Hyperlink"/>
    <w:basedOn w:val="DefaultParagraphFont"/>
    <w:rsid w:val="006C1228"/>
    <w:rPr>
      <w:color w:val="0000FF"/>
      <w:u w:val="single"/>
    </w:rPr>
  </w:style>
  <w:style w:type="table" w:styleId="TableGrid">
    <w:name w:val="Table Grid"/>
    <w:basedOn w:val="TableNormal"/>
    <w:rsid w:val="000D4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B45A8"/>
    <w:pPr>
      <w:spacing w:before="100" w:beforeAutospacing="1" w:after="100" w:afterAutospacing="1"/>
    </w:pPr>
    <w:rPr>
      <w:rFonts w:eastAsia="SimSun"/>
      <w:lang w:eastAsia="zh-CN"/>
    </w:rPr>
  </w:style>
  <w:style w:type="character" w:customStyle="1" w:styleId="mw-headline">
    <w:name w:val="mw-headline"/>
    <w:basedOn w:val="DefaultParagraphFont"/>
    <w:rsid w:val="009B45A8"/>
  </w:style>
  <w:style w:type="character" w:styleId="Strong">
    <w:name w:val="Strong"/>
    <w:basedOn w:val="DefaultParagraphFont"/>
    <w:qFormat/>
    <w:rsid w:val="006C14A7"/>
    <w:rPr>
      <w:b/>
      <w:bCs/>
    </w:rPr>
  </w:style>
  <w:style w:type="character" w:styleId="Emphasis">
    <w:name w:val="Emphasis"/>
    <w:basedOn w:val="DefaultParagraphFont"/>
    <w:qFormat/>
    <w:rsid w:val="00590BDB"/>
    <w:rPr>
      <w:i/>
      <w:iCs/>
    </w:rPr>
  </w:style>
  <w:style w:type="character" w:styleId="PageNumber">
    <w:name w:val="page number"/>
    <w:basedOn w:val="DefaultParagraphFont"/>
    <w:rsid w:val="00340456"/>
  </w:style>
  <w:style w:type="character" w:customStyle="1" w:styleId="EmailStyle291">
    <w:name w:val="EmailStyle291"/>
    <w:basedOn w:val="DefaultParagraphFont"/>
    <w:semiHidden/>
    <w:rsid w:val="00281247"/>
    <w:rPr>
      <w:rFonts w:ascii="Arial" w:hAnsi="Arial" w:cs="Arial"/>
      <w:color w:val="000080"/>
      <w:sz w:val="20"/>
      <w:szCs w:val="20"/>
    </w:rPr>
  </w:style>
  <w:style w:type="character" w:styleId="FollowedHyperlink">
    <w:name w:val="FollowedHyperlink"/>
    <w:basedOn w:val="DefaultParagraphFont"/>
    <w:rsid w:val="001F3D57"/>
    <w:rPr>
      <w:color w:val="800080"/>
      <w:u w:val="single"/>
    </w:rPr>
  </w:style>
  <w:style w:type="paragraph" w:styleId="FootnoteText">
    <w:name w:val="footnote text"/>
    <w:basedOn w:val="Normal"/>
    <w:semiHidden/>
    <w:rsid w:val="002C08FC"/>
    <w:pPr>
      <w:spacing w:after="0"/>
    </w:pPr>
    <w:rPr>
      <w:sz w:val="20"/>
      <w:szCs w:val="20"/>
    </w:rPr>
  </w:style>
  <w:style w:type="character" w:styleId="FootnoteReference">
    <w:name w:val="footnote reference"/>
    <w:basedOn w:val="DefaultParagraphFont"/>
    <w:semiHidden/>
    <w:rsid w:val="003E0088"/>
    <w:rPr>
      <w:vertAlign w:val="superscript"/>
    </w:rPr>
  </w:style>
  <w:style w:type="paragraph" w:customStyle="1" w:styleId="bulleted">
    <w:name w:val="bulleted"/>
    <w:basedOn w:val="Normal"/>
    <w:rsid w:val="00256690"/>
    <w:pPr>
      <w:numPr>
        <w:numId w:val="10"/>
      </w:numPr>
    </w:pPr>
  </w:style>
  <w:style w:type="character" w:customStyle="1" w:styleId="Heading1Char">
    <w:name w:val="Heading 1 Char"/>
    <w:basedOn w:val="DefaultParagraphFont"/>
    <w:link w:val="Heading1"/>
    <w:rsid w:val="00132D77"/>
    <w:rPr>
      <w:rFonts w:ascii="Arial" w:hAnsi="Arial" w:cs="Arial"/>
      <w:b/>
      <w:bCs/>
      <w:kern w:val="32"/>
      <w:sz w:val="28"/>
      <w:szCs w:val="32"/>
    </w:rPr>
  </w:style>
  <w:style w:type="character" w:customStyle="1" w:styleId="HeaderChar">
    <w:name w:val="Header Char"/>
    <w:basedOn w:val="DefaultParagraphFont"/>
    <w:link w:val="Header"/>
    <w:uiPriority w:val="99"/>
    <w:rsid w:val="00FC7501"/>
    <w:rPr>
      <w:sz w:val="24"/>
      <w:szCs w:val="24"/>
    </w:rPr>
  </w:style>
  <w:style w:type="character" w:customStyle="1" w:styleId="FooterChar">
    <w:name w:val="Footer Char"/>
    <w:basedOn w:val="DefaultParagraphFont"/>
    <w:link w:val="Footer"/>
    <w:uiPriority w:val="99"/>
    <w:rsid w:val="00596A13"/>
    <w:rPr>
      <w:sz w:val="24"/>
      <w:szCs w:val="24"/>
    </w:rPr>
  </w:style>
  <w:style w:type="paragraph" w:styleId="ListNumber">
    <w:name w:val="List Number"/>
    <w:basedOn w:val="Normal"/>
    <w:rsid w:val="00132D77"/>
    <w:pPr>
      <w:numPr>
        <w:numId w:val="21"/>
      </w:numPr>
      <w:contextualSpacing/>
    </w:pPr>
  </w:style>
  <w:style w:type="paragraph" w:styleId="ListParagraph">
    <w:name w:val="List Paragraph"/>
    <w:basedOn w:val="Normal"/>
    <w:uiPriority w:val="34"/>
    <w:qFormat/>
    <w:rsid w:val="00132D77"/>
    <w:pPr>
      <w:ind w:left="720"/>
      <w:contextualSpacing/>
    </w:pPr>
  </w:style>
  <w:style w:type="paragraph" w:styleId="ListNumber2">
    <w:name w:val="List Number 2"/>
    <w:basedOn w:val="Normal"/>
    <w:rsid w:val="00132D77"/>
    <w:pPr>
      <w:numPr>
        <w:numId w:val="22"/>
      </w:numPr>
      <w:contextualSpacing/>
    </w:pPr>
  </w:style>
  <w:style w:type="paragraph" w:styleId="ListBullet">
    <w:name w:val="List Bullet"/>
    <w:basedOn w:val="Normal"/>
    <w:rsid w:val="00461FE3"/>
    <w:pPr>
      <w:numPr>
        <w:numId w:val="16"/>
      </w:numPr>
      <w:contextualSpacing/>
    </w:pPr>
  </w:style>
  <w:style w:type="paragraph" w:styleId="ListBullet2">
    <w:name w:val="List Bullet 2"/>
    <w:basedOn w:val="Normal"/>
    <w:rsid w:val="00461FE3"/>
    <w:pPr>
      <w:numPr>
        <w:numId w:val="17"/>
      </w:numPr>
      <w:contextualSpacing/>
    </w:pPr>
  </w:style>
  <w:style w:type="paragraph" w:customStyle="1" w:styleId="TableTitle">
    <w:name w:val="TableTitle"/>
    <w:basedOn w:val="Heading4"/>
    <w:qFormat/>
    <w:rsid w:val="00461FE3"/>
    <w:pPr>
      <w:keepNext w:val="0"/>
      <w:keepLines w:val="0"/>
      <w:spacing w:before="0" w:after="60"/>
    </w:pPr>
    <w:rPr>
      <w:rFonts w:ascii="Arial" w:hAnsi="Arial" w:cs="Arial"/>
      <w:i w:val="0"/>
      <w:color w:val="auto"/>
      <w:sz w:val="20"/>
      <w:szCs w:val="20"/>
    </w:rPr>
  </w:style>
  <w:style w:type="paragraph" w:customStyle="1" w:styleId="TableHead">
    <w:name w:val="TableHead"/>
    <w:basedOn w:val="TableTitle"/>
    <w:qFormat/>
    <w:rsid w:val="00461FE3"/>
    <w:pPr>
      <w:spacing w:after="40"/>
      <w:jc w:val="center"/>
    </w:pPr>
  </w:style>
  <w:style w:type="character" w:customStyle="1" w:styleId="Heading4Char">
    <w:name w:val="Heading 4 Char"/>
    <w:basedOn w:val="DefaultParagraphFont"/>
    <w:link w:val="Heading4"/>
    <w:semiHidden/>
    <w:rsid w:val="00461FE3"/>
    <w:rPr>
      <w:rFonts w:asciiTheme="majorHAnsi" w:eastAsiaTheme="majorEastAsia" w:hAnsiTheme="majorHAnsi" w:cstheme="majorBidi"/>
      <w:b/>
      <w:bCs/>
      <w:i/>
      <w:iCs/>
      <w:color w:val="4F81BD" w:themeColor="accent1"/>
      <w:sz w:val="24"/>
      <w:szCs w:val="24"/>
    </w:rPr>
  </w:style>
  <w:style w:type="paragraph" w:customStyle="1" w:styleId="TableText">
    <w:name w:val="TableText"/>
    <w:basedOn w:val="TableTitle"/>
    <w:qFormat/>
    <w:rsid w:val="006A05C8"/>
    <w:pPr>
      <w:spacing w:after="0"/>
    </w:pPr>
    <w:rPr>
      <w:b w:val="0"/>
      <w:szCs w:val="22"/>
    </w:rPr>
  </w:style>
  <w:style w:type="paragraph" w:styleId="Revision">
    <w:name w:val="Revision"/>
    <w:hidden/>
    <w:uiPriority w:val="99"/>
    <w:semiHidden/>
    <w:rsid w:val="00F27442"/>
    <w:rPr>
      <w:sz w:val="24"/>
      <w:szCs w:val="24"/>
    </w:rPr>
  </w:style>
  <w:style w:type="character" w:customStyle="1" w:styleId="highlight">
    <w:name w:val="highlight"/>
    <w:basedOn w:val="DefaultParagraphFont"/>
    <w:rsid w:val="008B3403"/>
  </w:style>
  <w:style w:type="character" w:customStyle="1" w:styleId="A6">
    <w:name w:val="A6"/>
    <w:uiPriority w:val="99"/>
    <w:rsid w:val="002F7A24"/>
    <w:rPr>
      <w:rFonts w:cs="Flexo"/>
      <w:color w:val="000000"/>
      <w:sz w:val="48"/>
      <w:szCs w:val="48"/>
    </w:rPr>
  </w:style>
  <w:style w:type="paragraph" w:styleId="EndnoteText">
    <w:name w:val="endnote text"/>
    <w:basedOn w:val="Normal"/>
    <w:link w:val="EndnoteTextChar"/>
    <w:rsid w:val="00BB2F6E"/>
    <w:pPr>
      <w:spacing w:after="180"/>
    </w:pPr>
    <w:rPr>
      <w:szCs w:val="20"/>
    </w:rPr>
  </w:style>
  <w:style w:type="character" w:customStyle="1" w:styleId="EndnoteTextChar">
    <w:name w:val="Endnote Text Char"/>
    <w:basedOn w:val="DefaultParagraphFont"/>
    <w:link w:val="EndnoteText"/>
    <w:rsid w:val="00BB2F6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2D77"/>
    <w:pPr>
      <w:spacing w:after="240"/>
    </w:pPr>
    <w:rPr>
      <w:sz w:val="24"/>
      <w:szCs w:val="24"/>
    </w:rPr>
  </w:style>
  <w:style w:type="paragraph" w:styleId="Heading1">
    <w:name w:val="heading 1"/>
    <w:basedOn w:val="Normal"/>
    <w:next w:val="Normal"/>
    <w:link w:val="Heading1Char"/>
    <w:qFormat/>
    <w:rsid w:val="00132D77"/>
    <w:pPr>
      <w:keepNext/>
      <w:contextualSpacing/>
      <w:jc w:val="center"/>
      <w:outlineLvl w:val="0"/>
    </w:pPr>
    <w:rPr>
      <w:rFonts w:ascii="Arial" w:hAnsi="Arial" w:cs="Arial"/>
      <w:b/>
      <w:bCs/>
      <w:kern w:val="32"/>
      <w:sz w:val="28"/>
      <w:szCs w:val="32"/>
    </w:rPr>
  </w:style>
  <w:style w:type="paragraph" w:styleId="Heading2">
    <w:name w:val="heading 2"/>
    <w:basedOn w:val="Normal"/>
    <w:next w:val="Normal"/>
    <w:qFormat/>
    <w:rsid w:val="00132D77"/>
    <w:pPr>
      <w:keepNext/>
      <w:spacing w:after="120"/>
      <w:outlineLvl w:val="1"/>
    </w:pPr>
    <w:rPr>
      <w:rFonts w:ascii="Arial" w:hAnsi="Arial" w:cs="Arial"/>
      <w:b/>
      <w:bCs/>
      <w:i/>
      <w:iCs/>
      <w:sz w:val="28"/>
      <w:szCs w:val="28"/>
    </w:rPr>
  </w:style>
  <w:style w:type="paragraph" w:styleId="Heading3">
    <w:name w:val="heading 3"/>
    <w:basedOn w:val="Normal"/>
    <w:qFormat/>
    <w:rsid w:val="00461FE3"/>
    <w:pPr>
      <w:spacing w:after="120"/>
      <w:outlineLvl w:val="2"/>
    </w:pPr>
    <w:rPr>
      <w:rFonts w:ascii="Arial" w:eastAsia="SimSun" w:hAnsi="Arial"/>
      <w:b/>
      <w:bCs/>
      <w:szCs w:val="27"/>
      <w:lang w:eastAsia="zh-CN"/>
    </w:rPr>
  </w:style>
  <w:style w:type="paragraph" w:styleId="Heading4">
    <w:name w:val="heading 4"/>
    <w:basedOn w:val="Normal"/>
    <w:next w:val="Normal"/>
    <w:link w:val="Heading4Char"/>
    <w:semiHidden/>
    <w:unhideWhenUsed/>
    <w:qFormat/>
    <w:rsid w:val="00461F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
    <w:name w:val="Style Heading 1"/>
    <w:basedOn w:val="Normal"/>
    <w:rsid w:val="00157CD1"/>
    <w:pPr>
      <w:spacing w:line="360" w:lineRule="auto"/>
      <w:jc w:val="center"/>
    </w:pPr>
    <w:rPr>
      <w:b/>
      <w:sz w:val="28"/>
    </w:rPr>
  </w:style>
  <w:style w:type="paragraph" w:styleId="Header">
    <w:name w:val="header"/>
    <w:basedOn w:val="Normal"/>
    <w:link w:val="HeaderChar"/>
    <w:uiPriority w:val="99"/>
    <w:rsid w:val="00032A13"/>
    <w:pPr>
      <w:tabs>
        <w:tab w:val="center" w:pos="4320"/>
        <w:tab w:val="right" w:pos="8640"/>
      </w:tabs>
    </w:pPr>
  </w:style>
  <w:style w:type="paragraph" w:styleId="Footer">
    <w:name w:val="footer"/>
    <w:basedOn w:val="Normal"/>
    <w:link w:val="FooterChar"/>
    <w:uiPriority w:val="99"/>
    <w:rsid w:val="00032A13"/>
    <w:pPr>
      <w:tabs>
        <w:tab w:val="center" w:pos="4320"/>
        <w:tab w:val="right" w:pos="8640"/>
      </w:tabs>
    </w:pPr>
  </w:style>
  <w:style w:type="character" w:styleId="CommentReference">
    <w:name w:val="annotation reference"/>
    <w:basedOn w:val="DefaultParagraphFont"/>
    <w:semiHidden/>
    <w:rsid w:val="00423B75"/>
    <w:rPr>
      <w:sz w:val="16"/>
      <w:szCs w:val="16"/>
    </w:rPr>
  </w:style>
  <w:style w:type="paragraph" w:styleId="CommentText">
    <w:name w:val="annotation text"/>
    <w:basedOn w:val="Normal"/>
    <w:semiHidden/>
    <w:rsid w:val="00423B75"/>
    <w:rPr>
      <w:sz w:val="20"/>
      <w:szCs w:val="20"/>
    </w:rPr>
  </w:style>
  <w:style w:type="paragraph" w:styleId="CommentSubject">
    <w:name w:val="annotation subject"/>
    <w:basedOn w:val="CommentText"/>
    <w:next w:val="CommentText"/>
    <w:semiHidden/>
    <w:rsid w:val="00423B75"/>
    <w:rPr>
      <w:b/>
      <w:bCs/>
    </w:rPr>
  </w:style>
  <w:style w:type="paragraph" w:styleId="BalloonText">
    <w:name w:val="Balloon Text"/>
    <w:basedOn w:val="Normal"/>
    <w:semiHidden/>
    <w:rsid w:val="00423B75"/>
    <w:rPr>
      <w:rFonts w:ascii="Tahoma" w:hAnsi="Tahoma" w:cs="Tahoma"/>
      <w:sz w:val="16"/>
      <w:szCs w:val="16"/>
    </w:rPr>
  </w:style>
  <w:style w:type="character" w:styleId="Hyperlink">
    <w:name w:val="Hyperlink"/>
    <w:basedOn w:val="DefaultParagraphFont"/>
    <w:rsid w:val="006C1228"/>
    <w:rPr>
      <w:color w:val="0000FF"/>
      <w:u w:val="single"/>
    </w:rPr>
  </w:style>
  <w:style w:type="table" w:styleId="TableGrid">
    <w:name w:val="Table Grid"/>
    <w:basedOn w:val="TableNormal"/>
    <w:rsid w:val="000D4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B45A8"/>
    <w:pPr>
      <w:spacing w:before="100" w:beforeAutospacing="1" w:after="100" w:afterAutospacing="1"/>
    </w:pPr>
    <w:rPr>
      <w:rFonts w:eastAsia="SimSun"/>
      <w:lang w:eastAsia="zh-CN"/>
    </w:rPr>
  </w:style>
  <w:style w:type="character" w:customStyle="1" w:styleId="mw-headline">
    <w:name w:val="mw-headline"/>
    <w:basedOn w:val="DefaultParagraphFont"/>
    <w:rsid w:val="009B45A8"/>
  </w:style>
  <w:style w:type="character" w:styleId="Strong">
    <w:name w:val="Strong"/>
    <w:basedOn w:val="DefaultParagraphFont"/>
    <w:qFormat/>
    <w:rsid w:val="006C14A7"/>
    <w:rPr>
      <w:b/>
      <w:bCs/>
    </w:rPr>
  </w:style>
  <w:style w:type="character" w:styleId="Emphasis">
    <w:name w:val="Emphasis"/>
    <w:basedOn w:val="DefaultParagraphFont"/>
    <w:qFormat/>
    <w:rsid w:val="00590BDB"/>
    <w:rPr>
      <w:i/>
      <w:iCs/>
    </w:rPr>
  </w:style>
  <w:style w:type="character" w:styleId="PageNumber">
    <w:name w:val="page number"/>
    <w:basedOn w:val="DefaultParagraphFont"/>
    <w:rsid w:val="00340456"/>
  </w:style>
  <w:style w:type="character" w:customStyle="1" w:styleId="EmailStyle291">
    <w:name w:val="EmailStyle291"/>
    <w:basedOn w:val="DefaultParagraphFont"/>
    <w:semiHidden/>
    <w:rsid w:val="00281247"/>
    <w:rPr>
      <w:rFonts w:ascii="Arial" w:hAnsi="Arial" w:cs="Arial"/>
      <w:color w:val="000080"/>
      <w:sz w:val="20"/>
      <w:szCs w:val="20"/>
    </w:rPr>
  </w:style>
  <w:style w:type="character" w:styleId="FollowedHyperlink">
    <w:name w:val="FollowedHyperlink"/>
    <w:basedOn w:val="DefaultParagraphFont"/>
    <w:rsid w:val="001F3D57"/>
    <w:rPr>
      <w:color w:val="800080"/>
      <w:u w:val="single"/>
    </w:rPr>
  </w:style>
  <w:style w:type="paragraph" w:styleId="FootnoteText">
    <w:name w:val="footnote text"/>
    <w:basedOn w:val="Normal"/>
    <w:semiHidden/>
    <w:rsid w:val="002C08FC"/>
    <w:pPr>
      <w:spacing w:after="0"/>
    </w:pPr>
    <w:rPr>
      <w:sz w:val="20"/>
      <w:szCs w:val="20"/>
    </w:rPr>
  </w:style>
  <w:style w:type="character" w:styleId="FootnoteReference">
    <w:name w:val="footnote reference"/>
    <w:basedOn w:val="DefaultParagraphFont"/>
    <w:semiHidden/>
    <w:rsid w:val="003E0088"/>
    <w:rPr>
      <w:vertAlign w:val="superscript"/>
    </w:rPr>
  </w:style>
  <w:style w:type="paragraph" w:customStyle="1" w:styleId="bulleted">
    <w:name w:val="bulleted"/>
    <w:basedOn w:val="Normal"/>
    <w:rsid w:val="00256690"/>
    <w:pPr>
      <w:numPr>
        <w:numId w:val="10"/>
      </w:numPr>
    </w:pPr>
  </w:style>
  <w:style w:type="character" w:customStyle="1" w:styleId="Heading1Char">
    <w:name w:val="Heading 1 Char"/>
    <w:basedOn w:val="DefaultParagraphFont"/>
    <w:link w:val="Heading1"/>
    <w:rsid w:val="00132D77"/>
    <w:rPr>
      <w:rFonts w:ascii="Arial" w:hAnsi="Arial" w:cs="Arial"/>
      <w:b/>
      <w:bCs/>
      <w:kern w:val="32"/>
      <w:sz w:val="28"/>
      <w:szCs w:val="32"/>
    </w:rPr>
  </w:style>
  <w:style w:type="character" w:customStyle="1" w:styleId="HeaderChar">
    <w:name w:val="Header Char"/>
    <w:basedOn w:val="DefaultParagraphFont"/>
    <w:link w:val="Header"/>
    <w:uiPriority w:val="99"/>
    <w:rsid w:val="00FC7501"/>
    <w:rPr>
      <w:sz w:val="24"/>
      <w:szCs w:val="24"/>
    </w:rPr>
  </w:style>
  <w:style w:type="character" w:customStyle="1" w:styleId="FooterChar">
    <w:name w:val="Footer Char"/>
    <w:basedOn w:val="DefaultParagraphFont"/>
    <w:link w:val="Footer"/>
    <w:uiPriority w:val="99"/>
    <w:rsid w:val="00596A13"/>
    <w:rPr>
      <w:sz w:val="24"/>
      <w:szCs w:val="24"/>
    </w:rPr>
  </w:style>
  <w:style w:type="paragraph" w:styleId="ListNumber">
    <w:name w:val="List Number"/>
    <w:basedOn w:val="Normal"/>
    <w:rsid w:val="00132D77"/>
    <w:pPr>
      <w:numPr>
        <w:numId w:val="21"/>
      </w:numPr>
      <w:contextualSpacing/>
    </w:pPr>
  </w:style>
  <w:style w:type="paragraph" w:styleId="ListParagraph">
    <w:name w:val="List Paragraph"/>
    <w:basedOn w:val="Normal"/>
    <w:uiPriority w:val="34"/>
    <w:qFormat/>
    <w:rsid w:val="00132D77"/>
    <w:pPr>
      <w:ind w:left="720"/>
      <w:contextualSpacing/>
    </w:pPr>
  </w:style>
  <w:style w:type="paragraph" w:styleId="ListNumber2">
    <w:name w:val="List Number 2"/>
    <w:basedOn w:val="Normal"/>
    <w:rsid w:val="00132D77"/>
    <w:pPr>
      <w:numPr>
        <w:numId w:val="22"/>
      </w:numPr>
      <w:contextualSpacing/>
    </w:pPr>
  </w:style>
  <w:style w:type="paragraph" w:styleId="ListBullet">
    <w:name w:val="List Bullet"/>
    <w:basedOn w:val="Normal"/>
    <w:rsid w:val="00461FE3"/>
    <w:pPr>
      <w:numPr>
        <w:numId w:val="16"/>
      </w:numPr>
      <w:contextualSpacing/>
    </w:pPr>
  </w:style>
  <w:style w:type="paragraph" w:styleId="ListBullet2">
    <w:name w:val="List Bullet 2"/>
    <w:basedOn w:val="Normal"/>
    <w:rsid w:val="00461FE3"/>
    <w:pPr>
      <w:numPr>
        <w:numId w:val="17"/>
      </w:numPr>
      <w:contextualSpacing/>
    </w:pPr>
  </w:style>
  <w:style w:type="paragraph" w:customStyle="1" w:styleId="TableTitle">
    <w:name w:val="TableTitle"/>
    <w:basedOn w:val="Heading4"/>
    <w:qFormat/>
    <w:rsid w:val="00461FE3"/>
    <w:pPr>
      <w:keepNext w:val="0"/>
      <w:keepLines w:val="0"/>
      <w:spacing w:before="0" w:after="60"/>
    </w:pPr>
    <w:rPr>
      <w:rFonts w:ascii="Arial" w:hAnsi="Arial" w:cs="Arial"/>
      <w:i w:val="0"/>
      <w:color w:val="auto"/>
      <w:sz w:val="20"/>
      <w:szCs w:val="20"/>
    </w:rPr>
  </w:style>
  <w:style w:type="paragraph" w:customStyle="1" w:styleId="TableHead">
    <w:name w:val="TableHead"/>
    <w:basedOn w:val="TableTitle"/>
    <w:qFormat/>
    <w:rsid w:val="00461FE3"/>
    <w:pPr>
      <w:spacing w:after="40"/>
      <w:jc w:val="center"/>
    </w:pPr>
  </w:style>
  <w:style w:type="character" w:customStyle="1" w:styleId="Heading4Char">
    <w:name w:val="Heading 4 Char"/>
    <w:basedOn w:val="DefaultParagraphFont"/>
    <w:link w:val="Heading4"/>
    <w:semiHidden/>
    <w:rsid w:val="00461FE3"/>
    <w:rPr>
      <w:rFonts w:asciiTheme="majorHAnsi" w:eastAsiaTheme="majorEastAsia" w:hAnsiTheme="majorHAnsi" w:cstheme="majorBidi"/>
      <w:b/>
      <w:bCs/>
      <w:i/>
      <w:iCs/>
      <w:color w:val="4F81BD" w:themeColor="accent1"/>
      <w:sz w:val="24"/>
      <w:szCs w:val="24"/>
    </w:rPr>
  </w:style>
  <w:style w:type="paragraph" w:customStyle="1" w:styleId="TableText">
    <w:name w:val="TableText"/>
    <w:basedOn w:val="TableTitle"/>
    <w:qFormat/>
    <w:rsid w:val="006A05C8"/>
    <w:pPr>
      <w:spacing w:after="0"/>
    </w:pPr>
    <w:rPr>
      <w:b w:val="0"/>
      <w:szCs w:val="22"/>
    </w:rPr>
  </w:style>
  <w:style w:type="paragraph" w:styleId="Revision">
    <w:name w:val="Revision"/>
    <w:hidden/>
    <w:uiPriority w:val="99"/>
    <w:semiHidden/>
    <w:rsid w:val="00F27442"/>
    <w:rPr>
      <w:sz w:val="24"/>
      <w:szCs w:val="24"/>
    </w:rPr>
  </w:style>
  <w:style w:type="character" w:customStyle="1" w:styleId="highlight">
    <w:name w:val="highlight"/>
    <w:basedOn w:val="DefaultParagraphFont"/>
    <w:rsid w:val="008B3403"/>
  </w:style>
  <w:style w:type="character" w:customStyle="1" w:styleId="A6">
    <w:name w:val="A6"/>
    <w:uiPriority w:val="99"/>
    <w:rsid w:val="002F7A24"/>
    <w:rPr>
      <w:rFonts w:cs="Flexo"/>
      <w:color w:val="000000"/>
      <w:sz w:val="48"/>
      <w:szCs w:val="48"/>
    </w:rPr>
  </w:style>
  <w:style w:type="paragraph" w:styleId="EndnoteText">
    <w:name w:val="endnote text"/>
    <w:basedOn w:val="Normal"/>
    <w:link w:val="EndnoteTextChar"/>
    <w:rsid w:val="00BB2F6E"/>
    <w:pPr>
      <w:spacing w:after="180"/>
    </w:pPr>
    <w:rPr>
      <w:szCs w:val="20"/>
    </w:rPr>
  </w:style>
  <w:style w:type="character" w:customStyle="1" w:styleId="EndnoteTextChar">
    <w:name w:val="Endnote Text Char"/>
    <w:basedOn w:val="DefaultParagraphFont"/>
    <w:link w:val="EndnoteText"/>
    <w:rsid w:val="00BB2F6E"/>
    <w:rPr>
      <w:sz w:val="24"/>
    </w:rPr>
  </w:style>
</w:styles>
</file>

<file path=word/webSettings.xml><?xml version="1.0" encoding="utf-8"?>
<w:webSettings xmlns:r="http://schemas.openxmlformats.org/officeDocument/2006/relationships" xmlns:w="http://schemas.openxmlformats.org/wordprocessingml/2006/main">
  <w:divs>
    <w:div w:id="692607857">
      <w:bodyDiv w:val="1"/>
      <w:marLeft w:val="0"/>
      <w:marRight w:val="0"/>
      <w:marTop w:val="0"/>
      <w:marBottom w:val="0"/>
      <w:divBdr>
        <w:top w:val="none" w:sz="0" w:space="0" w:color="auto"/>
        <w:left w:val="none" w:sz="0" w:space="0" w:color="auto"/>
        <w:bottom w:val="none" w:sz="0" w:space="0" w:color="auto"/>
        <w:right w:val="none" w:sz="0" w:space="0" w:color="auto"/>
      </w:divBdr>
      <w:divsChild>
        <w:div w:id="499080973">
          <w:marLeft w:val="0"/>
          <w:marRight w:val="0"/>
          <w:marTop w:val="0"/>
          <w:marBottom w:val="0"/>
          <w:divBdr>
            <w:top w:val="none" w:sz="0" w:space="0" w:color="auto"/>
            <w:left w:val="none" w:sz="0" w:space="0" w:color="auto"/>
            <w:bottom w:val="none" w:sz="0" w:space="0" w:color="auto"/>
            <w:right w:val="none" w:sz="0" w:space="0" w:color="auto"/>
          </w:divBdr>
        </w:div>
      </w:divsChild>
    </w:div>
    <w:div w:id="830145117">
      <w:bodyDiv w:val="1"/>
      <w:marLeft w:val="96"/>
      <w:marRight w:val="96"/>
      <w:marTop w:val="36"/>
      <w:marBottom w:val="36"/>
      <w:divBdr>
        <w:top w:val="none" w:sz="0" w:space="0" w:color="auto"/>
        <w:left w:val="none" w:sz="0" w:space="0" w:color="auto"/>
        <w:bottom w:val="none" w:sz="0" w:space="0" w:color="auto"/>
        <w:right w:val="none" w:sz="0" w:space="0" w:color="auto"/>
      </w:divBdr>
      <w:divsChild>
        <w:div w:id="28648281">
          <w:marLeft w:val="0"/>
          <w:marRight w:val="0"/>
          <w:marTop w:val="0"/>
          <w:marBottom w:val="0"/>
          <w:divBdr>
            <w:top w:val="none" w:sz="0" w:space="0" w:color="auto"/>
            <w:left w:val="none" w:sz="0" w:space="0" w:color="auto"/>
            <w:bottom w:val="none" w:sz="0" w:space="0" w:color="auto"/>
            <w:right w:val="none" w:sz="0" w:space="0" w:color="auto"/>
          </w:divBdr>
          <w:divsChild>
            <w:div w:id="1009063637">
              <w:marLeft w:val="192"/>
              <w:marRight w:val="192"/>
              <w:marTop w:val="0"/>
              <w:marBottom w:val="0"/>
              <w:divBdr>
                <w:top w:val="none" w:sz="0" w:space="0" w:color="auto"/>
                <w:left w:val="none" w:sz="0" w:space="0" w:color="auto"/>
                <w:bottom w:val="none" w:sz="0" w:space="0" w:color="auto"/>
                <w:right w:val="none" w:sz="0" w:space="0" w:color="auto"/>
              </w:divBdr>
              <w:divsChild>
                <w:div w:id="10580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20797">
      <w:bodyDiv w:val="1"/>
      <w:marLeft w:val="0"/>
      <w:marRight w:val="0"/>
      <w:marTop w:val="0"/>
      <w:marBottom w:val="0"/>
      <w:divBdr>
        <w:top w:val="none" w:sz="0" w:space="0" w:color="auto"/>
        <w:left w:val="none" w:sz="0" w:space="0" w:color="auto"/>
        <w:bottom w:val="none" w:sz="0" w:space="0" w:color="auto"/>
        <w:right w:val="none" w:sz="0" w:space="0" w:color="auto"/>
      </w:divBdr>
      <w:divsChild>
        <w:div w:id="1423063746">
          <w:marLeft w:val="0"/>
          <w:marRight w:val="0"/>
          <w:marTop w:val="0"/>
          <w:marBottom w:val="0"/>
          <w:divBdr>
            <w:top w:val="none" w:sz="0" w:space="0" w:color="auto"/>
            <w:left w:val="none" w:sz="0" w:space="0" w:color="auto"/>
            <w:bottom w:val="none" w:sz="0" w:space="0" w:color="auto"/>
            <w:right w:val="none" w:sz="0" w:space="0" w:color="auto"/>
          </w:divBdr>
          <w:divsChild>
            <w:div w:id="1776752347">
              <w:marLeft w:val="0"/>
              <w:marRight w:val="0"/>
              <w:marTop w:val="0"/>
              <w:marBottom w:val="0"/>
              <w:divBdr>
                <w:top w:val="none" w:sz="0" w:space="0" w:color="auto"/>
                <w:left w:val="none" w:sz="0" w:space="0" w:color="auto"/>
                <w:bottom w:val="none" w:sz="0" w:space="0" w:color="auto"/>
                <w:right w:val="none" w:sz="0" w:space="0" w:color="auto"/>
              </w:divBdr>
              <w:divsChild>
                <w:div w:id="1193104426">
                  <w:marLeft w:val="0"/>
                  <w:marRight w:val="0"/>
                  <w:marTop w:val="0"/>
                  <w:marBottom w:val="0"/>
                  <w:divBdr>
                    <w:top w:val="none" w:sz="0" w:space="0" w:color="auto"/>
                    <w:left w:val="none" w:sz="0" w:space="0" w:color="auto"/>
                    <w:bottom w:val="none" w:sz="0" w:space="0" w:color="auto"/>
                    <w:right w:val="none" w:sz="0" w:space="0" w:color="auto"/>
                  </w:divBdr>
                  <w:divsChild>
                    <w:div w:id="9549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7167">
      <w:bodyDiv w:val="1"/>
      <w:marLeft w:val="0"/>
      <w:marRight w:val="0"/>
      <w:marTop w:val="0"/>
      <w:marBottom w:val="0"/>
      <w:divBdr>
        <w:top w:val="none" w:sz="0" w:space="0" w:color="auto"/>
        <w:left w:val="none" w:sz="0" w:space="0" w:color="auto"/>
        <w:bottom w:val="none" w:sz="0" w:space="0" w:color="auto"/>
        <w:right w:val="none" w:sz="0" w:space="0" w:color="auto"/>
      </w:divBdr>
      <w:divsChild>
        <w:div w:id="486867190">
          <w:marLeft w:val="0"/>
          <w:marRight w:val="0"/>
          <w:marTop w:val="0"/>
          <w:marBottom w:val="0"/>
          <w:divBdr>
            <w:top w:val="none" w:sz="0" w:space="0" w:color="auto"/>
            <w:left w:val="none" w:sz="0" w:space="0" w:color="auto"/>
            <w:bottom w:val="none" w:sz="0" w:space="0" w:color="auto"/>
            <w:right w:val="none" w:sz="0" w:space="0" w:color="auto"/>
          </w:divBdr>
          <w:divsChild>
            <w:div w:id="747389163">
              <w:marLeft w:val="0"/>
              <w:marRight w:val="0"/>
              <w:marTop w:val="0"/>
              <w:marBottom w:val="0"/>
              <w:divBdr>
                <w:top w:val="none" w:sz="0" w:space="0" w:color="auto"/>
                <w:left w:val="none" w:sz="0" w:space="0" w:color="auto"/>
                <w:bottom w:val="none" w:sz="0" w:space="0" w:color="auto"/>
                <w:right w:val="none" w:sz="0" w:space="0" w:color="auto"/>
              </w:divBdr>
              <w:divsChild>
                <w:div w:id="378168965">
                  <w:marLeft w:val="0"/>
                  <w:marRight w:val="0"/>
                  <w:marTop w:val="0"/>
                  <w:marBottom w:val="0"/>
                  <w:divBdr>
                    <w:top w:val="none" w:sz="0" w:space="0" w:color="auto"/>
                    <w:left w:val="none" w:sz="0" w:space="0" w:color="auto"/>
                    <w:bottom w:val="none" w:sz="0" w:space="0" w:color="auto"/>
                    <w:right w:val="none" w:sz="0" w:space="0" w:color="auto"/>
                  </w:divBdr>
                  <w:divsChild>
                    <w:div w:id="3590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960806">
      <w:bodyDiv w:val="1"/>
      <w:marLeft w:val="0"/>
      <w:marRight w:val="0"/>
      <w:marTop w:val="0"/>
      <w:marBottom w:val="0"/>
      <w:divBdr>
        <w:top w:val="none" w:sz="0" w:space="0" w:color="auto"/>
        <w:left w:val="none" w:sz="0" w:space="0" w:color="auto"/>
        <w:bottom w:val="none" w:sz="0" w:space="0" w:color="auto"/>
        <w:right w:val="none" w:sz="0" w:space="0" w:color="auto"/>
      </w:divBdr>
      <w:divsChild>
        <w:div w:id="488792874">
          <w:marLeft w:val="0"/>
          <w:marRight w:val="0"/>
          <w:marTop w:val="0"/>
          <w:marBottom w:val="0"/>
          <w:divBdr>
            <w:top w:val="none" w:sz="0" w:space="0" w:color="auto"/>
            <w:left w:val="none" w:sz="0" w:space="0" w:color="auto"/>
            <w:bottom w:val="none" w:sz="0" w:space="0" w:color="auto"/>
            <w:right w:val="none" w:sz="0" w:space="0" w:color="auto"/>
          </w:divBdr>
        </w:div>
      </w:divsChild>
    </w:div>
    <w:div w:id="2043285727">
      <w:bodyDiv w:val="1"/>
      <w:marLeft w:val="0"/>
      <w:marRight w:val="0"/>
      <w:marTop w:val="0"/>
      <w:marBottom w:val="0"/>
      <w:divBdr>
        <w:top w:val="none" w:sz="0" w:space="0" w:color="auto"/>
        <w:left w:val="none" w:sz="0" w:space="0" w:color="auto"/>
        <w:bottom w:val="none" w:sz="0" w:space="0" w:color="auto"/>
        <w:right w:val="none" w:sz="0" w:space="0" w:color="auto"/>
      </w:divBdr>
      <w:divsChild>
        <w:div w:id="1166285188">
          <w:marLeft w:val="0"/>
          <w:marRight w:val="0"/>
          <w:marTop w:val="0"/>
          <w:marBottom w:val="0"/>
          <w:divBdr>
            <w:top w:val="none" w:sz="0" w:space="0" w:color="auto"/>
            <w:left w:val="none" w:sz="0" w:space="0" w:color="auto"/>
            <w:bottom w:val="none" w:sz="0" w:space="0" w:color="auto"/>
            <w:right w:val="none" w:sz="0" w:space="0" w:color="auto"/>
          </w:divBdr>
          <w:divsChild>
            <w:div w:id="1392848330">
              <w:marLeft w:val="0"/>
              <w:marRight w:val="0"/>
              <w:marTop w:val="0"/>
              <w:marBottom w:val="0"/>
              <w:divBdr>
                <w:top w:val="none" w:sz="0" w:space="0" w:color="auto"/>
                <w:left w:val="none" w:sz="0" w:space="0" w:color="auto"/>
                <w:bottom w:val="none" w:sz="0" w:space="0" w:color="auto"/>
                <w:right w:val="none" w:sz="0" w:space="0" w:color="auto"/>
              </w:divBdr>
              <w:divsChild>
                <w:div w:id="1559197203">
                  <w:marLeft w:val="0"/>
                  <w:marRight w:val="-6084"/>
                  <w:marTop w:val="0"/>
                  <w:marBottom w:val="0"/>
                  <w:divBdr>
                    <w:top w:val="none" w:sz="0" w:space="0" w:color="auto"/>
                    <w:left w:val="none" w:sz="0" w:space="0" w:color="auto"/>
                    <w:bottom w:val="none" w:sz="0" w:space="0" w:color="auto"/>
                    <w:right w:val="none" w:sz="0" w:space="0" w:color="auto"/>
                  </w:divBdr>
                  <w:divsChild>
                    <w:div w:id="1622954672">
                      <w:marLeft w:val="0"/>
                      <w:marRight w:val="5844"/>
                      <w:marTop w:val="0"/>
                      <w:marBottom w:val="0"/>
                      <w:divBdr>
                        <w:top w:val="none" w:sz="0" w:space="0" w:color="auto"/>
                        <w:left w:val="none" w:sz="0" w:space="0" w:color="auto"/>
                        <w:bottom w:val="none" w:sz="0" w:space="0" w:color="auto"/>
                        <w:right w:val="none" w:sz="0" w:space="0" w:color="auto"/>
                      </w:divBdr>
                      <w:divsChild>
                        <w:div w:id="1076363383">
                          <w:marLeft w:val="0"/>
                          <w:marRight w:val="0"/>
                          <w:marTop w:val="0"/>
                          <w:marBottom w:val="0"/>
                          <w:divBdr>
                            <w:top w:val="none" w:sz="0" w:space="0" w:color="auto"/>
                            <w:left w:val="none" w:sz="0" w:space="0" w:color="auto"/>
                            <w:bottom w:val="none" w:sz="0" w:space="0" w:color="auto"/>
                            <w:right w:val="none" w:sz="0" w:space="0" w:color="auto"/>
                          </w:divBdr>
                          <w:divsChild>
                            <w:div w:id="440489284">
                              <w:marLeft w:val="0"/>
                              <w:marRight w:val="0"/>
                              <w:marTop w:val="120"/>
                              <w:marBottom w:val="360"/>
                              <w:divBdr>
                                <w:top w:val="none" w:sz="0" w:space="0" w:color="auto"/>
                                <w:left w:val="none" w:sz="0" w:space="0" w:color="auto"/>
                                <w:bottom w:val="none" w:sz="0" w:space="0" w:color="auto"/>
                                <w:right w:val="none" w:sz="0" w:space="0" w:color="auto"/>
                              </w:divBdr>
                              <w:divsChild>
                                <w:div w:id="1533760029">
                                  <w:marLeft w:val="0"/>
                                  <w:marRight w:val="0"/>
                                  <w:marTop w:val="0"/>
                                  <w:marBottom w:val="0"/>
                                  <w:divBdr>
                                    <w:top w:val="none" w:sz="0" w:space="0" w:color="auto"/>
                                    <w:left w:val="none" w:sz="0" w:space="0" w:color="auto"/>
                                    <w:bottom w:val="none" w:sz="0" w:space="0" w:color="auto"/>
                                    <w:right w:val="none" w:sz="0" w:space="0" w:color="auto"/>
                                  </w:divBdr>
                                </w:div>
                                <w:div w:id="9623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bls.gov/cpi/cpifact4.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www.ihi.org/resources/Pages/Tools/AdverseEventsPreventedCalculator.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bls.gov/CPI/"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hi.org/IHI/Topics/PatientSafety/SafetyGeneral/Tools/adverseeventspreventedcalculator.ht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chcsroi.org/Welcome.asp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ls.gov/oes/current/oessrcs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micromedex.com/products/redbook/databa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36faa46a-c32a-4e76-8967-241cd91695fa">ECA5PWAFM45H-1464-408</_dlc_DocId>
    <_dlc_DocIdUrl xmlns="36faa46a-c32a-4e76-8967-241cd91695fa">
      <Url>https://teamspace.rand.org/health/qi-toolkit/_layouts/15/DocIdRedir.aspx?ID=ECA5PWAFM45H-1464-408</Url>
      <Description>ECA5PWAFM45H-1464-408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3A88BFFAAB244A8895E8667B2F75A8" ma:contentTypeVersion="7" ma:contentTypeDescription="Create a new document." ma:contentTypeScope="" ma:versionID="1c94f7e84a8e0da51494bbcd237efe80">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B6784-C4CD-4A29-97CB-A9CF667D995C}">
  <ds:schemaRefs>
    <ds:schemaRef ds:uri="http://schemas.microsoft.com/sharepoint/v3/contenttype/forms"/>
  </ds:schemaRefs>
</ds:datastoreItem>
</file>

<file path=customXml/itemProps2.xml><?xml version="1.0" encoding="utf-8"?>
<ds:datastoreItem xmlns:ds="http://schemas.openxmlformats.org/officeDocument/2006/customXml" ds:itemID="{B598FE62-0887-4717-AAB1-C1CDD201B920}">
  <ds:schemaRefs>
    <ds:schemaRef ds:uri="http://schemas.microsoft.com/office/2006/metadata/properties"/>
    <ds:schemaRef ds:uri="36faa46a-c32a-4e76-8967-241cd91695fa"/>
  </ds:schemaRefs>
</ds:datastoreItem>
</file>

<file path=customXml/itemProps3.xml><?xml version="1.0" encoding="utf-8"?>
<ds:datastoreItem xmlns:ds="http://schemas.openxmlformats.org/officeDocument/2006/customXml" ds:itemID="{330B8C18-C518-40B9-A629-DD72FA3F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528D5-E66F-4DD3-A6C1-EBBBF164FD44}">
  <ds:schemaRefs>
    <ds:schemaRef ds:uri="http://schemas.microsoft.com/sharepoint/events"/>
  </ds:schemaRefs>
</ds:datastoreItem>
</file>

<file path=customXml/itemProps5.xml><?xml version="1.0" encoding="utf-8"?>
<ds:datastoreItem xmlns:ds="http://schemas.openxmlformats.org/officeDocument/2006/customXml" ds:itemID="{94AD334A-DEA9-43B3-9637-67B81270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5497</Words>
  <Characters>30579</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Return on Investment Tool</vt:lpstr>
    </vt:vector>
  </TitlesOfParts>
  <Company>RAND Corporation</Company>
  <LinksUpToDate>false</LinksUpToDate>
  <CharactersWithSpaces>36004</CharactersWithSpaces>
  <SharedDoc>false</SharedDoc>
  <HLinks>
    <vt:vector size="42" baseType="variant">
      <vt:variant>
        <vt:i4>5701701</vt:i4>
      </vt:variant>
      <vt:variant>
        <vt:i4>18</vt:i4>
      </vt:variant>
      <vt:variant>
        <vt:i4>0</vt:i4>
      </vt:variant>
      <vt:variant>
        <vt:i4>5</vt:i4>
      </vt:variant>
      <vt:variant>
        <vt:lpwstr>http://www.ihi.org/IHI/Topics/PatientSafety/SafetyGeneral/Tools/adverseeventspreventedcalculator.htm</vt:lpwstr>
      </vt:variant>
      <vt:variant>
        <vt:lpwstr/>
      </vt:variant>
      <vt:variant>
        <vt:i4>5701701</vt:i4>
      </vt:variant>
      <vt:variant>
        <vt:i4>15</vt:i4>
      </vt:variant>
      <vt:variant>
        <vt:i4>0</vt:i4>
      </vt:variant>
      <vt:variant>
        <vt:i4>5</vt:i4>
      </vt:variant>
      <vt:variant>
        <vt:lpwstr>http://www.ihi.org/IHI/Topics/PatientSafety/SafetyGeneral/Tools/adverseeventspreventedcalculator.htm</vt:lpwstr>
      </vt:variant>
      <vt:variant>
        <vt:lpwstr/>
      </vt:variant>
      <vt:variant>
        <vt:i4>3670113</vt:i4>
      </vt:variant>
      <vt:variant>
        <vt:i4>12</vt:i4>
      </vt:variant>
      <vt:variant>
        <vt:i4>0</vt:i4>
      </vt:variant>
      <vt:variant>
        <vt:i4>5</vt:i4>
      </vt:variant>
      <vt:variant>
        <vt:lpwstr>http://www.chcsroi.org/Welcome.aspx</vt:lpwstr>
      </vt:variant>
      <vt:variant>
        <vt:lpwstr/>
      </vt:variant>
      <vt:variant>
        <vt:i4>1966150</vt:i4>
      </vt:variant>
      <vt:variant>
        <vt:i4>9</vt:i4>
      </vt:variant>
      <vt:variant>
        <vt:i4>0</vt:i4>
      </vt:variant>
      <vt:variant>
        <vt:i4>5</vt:i4>
      </vt:variant>
      <vt:variant>
        <vt:lpwstr>http://www.micromedex.com/products/redbook/database/</vt:lpwstr>
      </vt:variant>
      <vt:variant>
        <vt:lpwstr/>
      </vt:variant>
      <vt:variant>
        <vt:i4>6553636</vt:i4>
      </vt:variant>
      <vt:variant>
        <vt:i4>6</vt:i4>
      </vt:variant>
      <vt:variant>
        <vt:i4>0</vt:i4>
      </vt:variant>
      <vt:variant>
        <vt:i4>5</vt:i4>
      </vt:variant>
      <vt:variant>
        <vt:lpwstr>http://www.bls.gov/cpi/cpifact4.htm</vt:lpwstr>
      </vt:variant>
      <vt:variant>
        <vt:lpwstr/>
      </vt:variant>
      <vt:variant>
        <vt:i4>2162722</vt:i4>
      </vt:variant>
      <vt:variant>
        <vt:i4>3</vt:i4>
      </vt:variant>
      <vt:variant>
        <vt:i4>0</vt:i4>
      </vt:variant>
      <vt:variant>
        <vt:i4>5</vt:i4>
      </vt:variant>
      <vt:variant>
        <vt:lpwstr>http://www.bls.gov/CPI/</vt:lpwstr>
      </vt:variant>
      <vt:variant>
        <vt:lpwstr/>
      </vt:variant>
      <vt:variant>
        <vt:i4>7340087</vt:i4>
      </vt:variant>
      <vt:variant>
        <vt:i4>0</vt:i4>
      </vt:variant>
      <vt:variant>
        <vt:i4>0</vt:i4>
      </vt:variant>
      <vt:variant>
        <vt:i4>5</vt:i4>
      </vt:variant>
      <vt:variant>
        <vt:lpwstr>http://www.bls.gov/oes/current/oessrcst.htm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on Investment Tool</dc:title>
  <dc:creator>Melony Sorbero</dc:creator>
  <cp:lastModifiedBy>Gill's</cp:lastModifiedBy>
  <cp:revision>2</cp:revision>
  <cp:lastPrinted>2016-01-29T19:30:00Z</cp:lastPrinted>
  <dcterms:created xsi:type="dcterms:W3CDTF">2017-03-08T17:51:00Z</dcterms:created>
  <dcterms:modified xsi:type="dcterms:W3CDTF">2017-03-08T17:51:00Z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0x010100753A88BFFAAB244A8895E8667B2F75A8</vt:lpwstr>
  </property>
  <property fmtid="{D5CDD505-2E9C-101B-9397-08002B2CF9AE}" pid="3" name="_dlc_DocIdItemGuid">
    <vt:lpwstr>874bcc2f-e3af-41a8-9a58-38a14b825e3c</vt:lpwstr>
  </property>
</Properties>
</file>