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E1D" w:rsidRPr="00511E1D" w:rsidRDefault="004808EA" w:rsidP="004808EA">
      <w:pPr>
        <w:autoSpaceDE w:val="0"/>
        <w:autoSpaceDN w:val="0"/>
        <w:adjustRightInd w:val="0"/>
      </w:pPr>
      <w:r w:rsidRPr="00511E1D">
        <w:t>After reading the following abstracts</w:t>
      </w:r>
      <w:r w:rsidR="00511E1D">
        <w:t>,</w:t>
      </w:r>
      <w:r w:rsidRPr="00511E1D">
        <w:t xml:space="preserve"> identify the type of </w:t>
      </w:r>
      <w:r w:rsidR="00511E1D" w:rsidRPr="00511E1D">
        <w:t xml:space="preserve">evidence particular statements are </w:t>
      </w:r>
      <w:r w:rsidR="00511E1D">
        <w:t>providing</w:t>
      </w:r>
      <w:r w:rsidR="00511E1D" w:rsidRPr="00511E1D">
        <w:t xml:space="preserve"> </w:t>
      </w:r>
      <w:r w:rsidR="00511E1D">
        <w:t xml:space="preserve">(reliability or validity) and identify the type/approach used. </w:t>
      </w:r>
    </w:p>
    <w:p w:rsidR="00511E1D" w:rsidRDefault="00511E1D" w:rsidP="004808EA">
      <w:pPr>
        <w:autoSpaceDE w:val="0"/>
        <w:autoSpaceDN w:val="0"/>
        <w:adjustRightInd w:val="0"/>
        <w:rPr>
          <w:sz w:val="18"/>
          <w:szCs w:val="18"/>
        </w:rPr>
      </w:pPr>
    </w:p>
    <w:p w:rsidR="00C34B59" w:rsidRPr="00511E1D" w:rsidRDefault="00C34B59" w:rsidP="00511E1D">
      <w:pPr>
        <w:pStyle w:val="ListParagraph"/>
        <w:numPr>
          <w:ilvl w:val="0"/>
          <w:numId w:val="2"/>
        </w:numPr>
        <w:autoSpaceDE w:val="0"/>
        <w:autoSpaceDN w:val="0"/>
        <w:adjustRightInd w:val="0"/>
        <w:ind w:hanging="720"/>
        <w:rPr>
          <w:sz w:val="18"/>
          <w:szCs w:val="18"/>
        </w:rPr>
      </w:pPr>
      <w:hyperlink r:id="rId5" w:history="1">
        <w:r w:rsidRPr="00511E1D">
          <w:rPr>
            <w:sz w:val="18"/>
            <w:szCs w:val="18"/>
          </w:rPr>
          <w:t>Kanji S</w:t>
        </w:r>
      </w:hyperlink>
      <w:r w:rsidRPr="00511E1D">
        <w:rPr>
          <w:sz w:val="18"/>
          <w:szCs w:val="18"/>
        </w:rPr>
        <w:t xml:space="preserve">, </w:t>
      </w:r>
      <w:hyperlink r:id="rId6" w:history="1">
        <w:proofErr w:type="spellStart"/>
        <w:r w:rsidRPr="00511E1D">
          <w:rPr>
            <w:sz w:val="18"/>
            <w:szCs w:val="18"/>
          </w:rPr>
          <w:t>MacPhee</w:t>
        </w:r>
        <w:proofErr w:type="spellEnd"/>
        <w:r w:rsidRPr="00511E1D">
          <w:rPr>
            <w:sz w:val="18"/>
            <w:szCs w:val="18"/>
          </w:rPr>
          <w:t xml:space="preserve"> H</w:t>
        </w:r>
      </w:hyperlink>
      <w:r w:rsidRPr="00511E1D">
        <w:rPr>
          <w:sz w:val="18"/>
          <w:szCs w:val="18"/>
        </w:rPr>
        <w:t xml:space="preserve">, </w:t>
      </w:r>
      <w:hyperlink r:id="rId7" w:history="1">
        <w:r w:rsidRPr="00511E1D">
          <w:rPr>
            <w:sz w:val="18"/>
            <w:szCs w:val="18"/>
          </w:rPr>
          <w:t>Singh A</w:t>
        </w:r>
      </w:hyperlink>
      <w:r w:rsidRPr="00511E1D">
        <w:rPr>
          <w:sz w:val="18"/>
          <w:szCs w:val="18"/>
        </w:rPr>
        <w:t xml:space="preserve">, </w:t>
      </w:r>
      <w:hyperlink r:id="rId8" w:history="1">
        <w:proofErr w:type="spellStart"/>
        <w:r w:rsidRPr="00511E1D">
          <w:rPr>
            <w:sz w:val="18"/>
            <w:szCs w:val="18"/>
          </w:rPr>
          <w:t>Johanson</w:t>
        </w:r>
        <w:proofErr w:type="spellEnd"/>
        <w:r w:rsidRPr="00511E1D">
          <w:rPr>
            <w:sz w:val="18"/>
            <w:szCs w:val="18"/>
          </w:rPr>
          <w:t xml:space="preserve"> C</w:t>
        </w:r>
      </w:hyperlink>
      <w:r w:rsidRPr="00511E1D">
        <w:rPr>
          <w:sz w:val="18"/>
          <w:szCs w:val="18"/>
        </w:rPr>
        <w:t xml:space="preserve">, </w:t>
      </w:r>
      <w:hyperlink r:id="rId9" w:history="1">
        <w:r w:rsidRPr="00511E1D">
          <w:rPr>
            <w:sz w:val="18"/>
            <w:szCs w:val="18"/>
          </w:rPr>
          <w:t>Fairbairn J</w:t>
        </w:r>
      </w:hyperlink>
      <w:r w:rsidRPr="00511E1D">
        <w:rPr>
          <w:sz w:val="18"/>
          <w:szCs w:val="18"/>
        </w:rPr>
        <w:t xml:space="preserve">, </w:t>
      </w:r>
      <w:hyperlink r:id="rId10" w:history="1">
        <w:r w:rsidRPr="00511E1D">
          <w:rPr>
            <w:sz w:val="18"/>
            <w:szCs w:val="18"/>
          </w:rPr>
          <w:t>Lloyd T</w:t>
        </w:r>
      </w:hyperlink>
      <w:r w:rsidRPr="00511E1D">
        <w:rPr>
          <w:sz w:val="18"/>
          <w:szCs w:val="18"/>
        </w:rPr>
        <w:t xml:space="preserve">, </w:t>
      </w:r>
      <w:hyperlink r:id="rId11" w:history="1">
        <w:r w:rsidRPr="00511E1D">
          <w:rPr>
            <w:sz w:val="18"/>
            <w:szCs w:val="18"/>
          </w:rPr>
          <w:t>MacLean R</w:t>
        </w:r>
      </w:hyperlink>
      <w:r w:rsidRPr="00511E1D">
        <w:rPr>
          <w:sz w:val="18"/>
          <w:szCs w:val="18"/>
        </w:rPr>
        <w:t xml:space="preserve">, </w:t>
      </w:r>
      <w:hyperlink r:id="rId12" w:history="1">
        <w:r w:rsidRPr="00511E1D">
          <w:rPr>
            <w:sz w:val="18"/>
            <w:szCs w:val="18"/>
          </w:rPr>
          <w:t>Rosenberg E</w:t>
        </w:r>
      </w:hyperlink>
      <w:r w:rsidRPr="00511E1D">
        <w:rPr>
          <w:sz w:val="18"/>
          <w:szCs w:val="18"/>
        </w:rPr>
        <w:t xml:space="preserve">. Validation of the Critical Care Pain Observation Tool in Critically Ill Patients </w:t>
      </w:r>
      <w:proofErr w:type="gramStart"/>
      <w:r w:rsidRPr="00511E1D">
        <w:rPr>
          <w:sz w:val="18"/>
          <w:szCs w:val="18"/>
        </w:rPr>
        <w:t>With</w:t>
      </w:r>
      <w:proofErr w:type="gramEnd"/>
      <w:r w:rsidRPr="00511E1D">
        <w:rPr>
          <w:sz w:val="18"/>
          <w:szCs w:val="18"/>
        </w:rPr>
        <w:t xml:space="preserve"> Delirium: A Prospective Cohort Study. </w:t>
      </w:r>
      <w:hyperlink r:id="rId13" w:tooltip="Critical care medicine." w:history="1">
        <w:proofErr w:type="spellStart"/>
        <w:r w:rsidRPr="00511E1D">
          <w:rPr>
            <w:sz w:val="18"/>
            <w:szCs w:val="18"/>
          </w:rPr>
          <w:t>Crit</w:t>
        </w:r>
        <w:proofErr w:type="spellEnd"/>
        <w:r w:rsidRPr="00511E1D">
          <w:rPr>
            <w:sz w:val="18"/>
            <w:szCs w:val="18"/>
          </w:rPr>
          <w:t xml:space="preserve"> Care Med.</w:t>
        </w:r>
      </w:hyperlink>
      <w:r w:rsidRPr="00511E1D">
        <w:rPr>
          <w:sz w:val="18"/>
          <w:szCs w:val="18"/>
        </w:rPr>
        <w:t xml:space="preserve"> 2016 May</w:t>
      </w:r>
      <w:proofErr w:type="gramStart"/>
      <w:r w:rsidRPr="00511E1D">
        <w:rPr>
          <w:sz w:val="18"/>
          <w:szCs w:val="18"/>
        </w:rPr>
        <w:t>;44</w:t>
      </w:r>
      <w:proofErr w:type="gramEnd"/>
      <w:r w:rsidRPr="00511E1D">
        <w:rPr>
          <w:sz w:val="18"/>
          <w:szCs w:val="18"/>
        </w:rPr>
        <w:t xml:space="preserve">(5):943-7. </w:t>
      </w:r>
    </w:p>
    <w:p w:rsidR="00C34B59" w:rsidRDefault="00C34B59" w:rsidP="00C34B59">
      <w:pPr>
        <w:pStyle w:val="Heading4"/>
        <w:shd w:val="clear" w:color="auto" w:fill="FFFFFF"/>
        <w:spacing w:before="0" w:after="0"/>
        <w:rPr>
          <w:b w:val="0"/>
          <w:color w:val="auto"/>
          <w:sz w:val="22"/>
          <w:szCs w:val="22"/>
        </w:rPr>
      </w:pPr>
    </w:p>
    <w:p w:rsidR="00C34B59" w:rsidRPr="003D1DBC" w:rsidRDefault="00C34B59" w:rsidP="00C34B59">
      <w:pPr>
        <w:pStyle w:val="Heading4"/>
        <w:shd w:val="clear" w:color="auto" w:fill="FFFFFF"/>
        <w:spacing w:before="0" w:after="0"/>
        <w:rPr>
          <w:b w:val="0"/>
          <w:color w:val="auto"/>
          <w:sz w:val="22"/>
          <w:szCs w:val="22"/>
        </w:rPr>
      </w:pPr>
      <w:r w:rsidRPr="003D1DBC">
        <w:rPr>
          <w:b w:val="0"/>
          <w:color w:val="auto"/>
          <w:sz w:val="22"/>
          <w:szCs w:val="22"/>
        </w:rPr>
        <w:t xml:space="preserve">OBJECTIVES: The 2013 clinical practice guidelines for the management of pain, agitation, and delirium in adult patients in the ICU suggest that pain be routinely assessed using a validated pain assessment tool. Currently available tools </w:t>
      </w:r>
      <w:proofErr w:type="gramStart"/>
      <w:r w:rsidRPr="003D1DBC">
        <w:rPr>
          <w:b w:val="0"/>
          <w:color w:val="auto"/>
          <w:sz w:val="22"/>
          <w:szCs w:val="22"/>
        </w:rPr>
        <w:t>have only been evaluated</w:t>
      </w:r>
      <w:proofErr w:type="gramEnd"/>
      <w:r w:rsidRPr="003D1DBC">
        <w:rPr>
          <w:b w:val="0"/>
          <w:color w:val="auto"/>
          <w:sz w:val="22"/>
          <w:szCs w:val="22"/>
        </w:rPr>
        <w:t xml:space="preserve"> in </w:t>
      </w:r>
      <w:proofErr w:type="spellStart"/>
      <w:r w:rsidRPr="003D1DBC">
        <w:rPr>
          <w:b w:val="0"/>
          <w:color w:val="auto"/>
          <w:sz w:val="22"/>
          <w:szCs w:val="22"/>
        </w:rPr>
        <w:t>nondelirious</w:t>
      </w:r>
      <w:proofErr w:type="spellEnd"/>
      <w:r w:rsidRPr="003D1DBC">
        <w:rPr>
          <w:b w:val="0"/>
          <w:color w:val="auto"/>
          <w:sz w:val="22"/>
          <w:szCs w:val="22"/>
        </w:rPr>
        <w:t xml:space="preserve"> critically ill patients, yet delirium can affect as many as 80% of ICU patients. The validated pain assessment tool adopted by our institution is the Critical Care Pain Observation Tool, and the objective of this study was to investigate the </w:t>
      </w:r>
      <w:r w:rsidRPr="003D1DBC">
        <w:rPr>
          <w:rStyle w:val="highlight2"/>
          <w:b w:val="0"/>
          <w:color w:val="auto"/>
          <w:sz w:val="22"/>
          <w:szCs w:val="22"/>
        </w:rPr>
        <w:t>validity</w:t>
      </w:r>
      <w:r w:rsidRPr="003D1DBC">
        <w:rPr>
          <w:b w:val="0"/>
          <w:color w:val="auto"/>
          <w:sz w:val="22"/>
          <w:szCs w:val="22"/>
        </w:rPr>
        <w:t xml:space="preserve"> of this tool in patients with evidence of delirium. DESIGN: Prospective cohort study. SETTING: Two ICUs within a Canadian tertiary healthcare center. PATIENTS: Forty consecutive adult patients deemed delirious on the </w:t>
      </w:r>
      <w:r w:rsidRPr="0073604B">
        <w:rPr>
          <w:b w:val="0"/>
          <w:color w:val="auto"/>
          <w:sz w:val="22"/>
          <w:szCs w:val="22"/>
        </w:rPr>
        <w:t xml:space="preserve">day of enrollment using the Confusion Assessment Method for ICU. MEASUREMENTS AND MAIN RESULTS:  </w:t>
      </w:r>
      <w:proofErr w:type="gramStart"/>
      <w:r w:rsidRPr="0073604B">
        <w:rPr>
          <w:b w:val="0"/>
          <w:color w:val="auto"/>
          <w:sz w:val="22"/>
          <w:szCs w:val="22"/>
        </w:rPr>
        <w:t>Serial Critical Care Pain Observation Tool assessments were conducted simultaneously by study personnel</w:t>
      </w:r>
      <w:proofErr w:type="gramEnd"/>
      <w:r w:rsidRPr="0073604B">
        <w:rPr>
          <w:b w:val="0"/>
          <w:color w:val="auto"/>
          <w:sz w:val="22"/>
          <w:szCs w:val="22"/>
        </w:rPr>
        <w:t xml:space="preserve"> and objective nurses at baseline and after </w:t>
      </w:r>
      <w:proofErr w:type="spellStart"/>
      <w:r w:rsidRPr="0073604B">
        <w:rPr>
          <w:b w:val="0"/>
          <w:color w:val="auto"/>
          <w:sz w:val="22"/>
          <w:szCs w:val="22"/>
        </w:rPr>
        <w:t>nonpainful</w:t>
      </w:r>
      <w:proofErr w:type="spellEnd"/>
      <w:r w:rsidRPr="0073604B">
        <w:rPr>
          <w:b w:val="0"/>
          <w:color w:val="auto"/>
          <w:sz w:val="22"/>
          <w:szCs w:val="22"/>
        </w:rPr>
        <w:t xml:space="preserve"> and painful stimuli. Subjective opinions about pain and objective physical variables (including mean arterial pressure, heart rate, respiratory rate, and oxygen saturation) </w:t>
      </w:r>
      <w:proofErr w:type="gramStart"/>
      <w:r w:rsidRPr="0073604B">
        <w:rPr>
          <w:b w:val="0"/>
          <w:color w:val="auto"/>
          <w:sz w:val="22"/>
          <w:szCs w:val="22"/>
        </w:rPr>
        <w:t>were collected</w:t>
      </w:r>
      <w:proofErr w:type="gramEnd"/>
      <w:r w:rsidRPr="0073604B">
        <w:rPr>
          <w:b w:val="0"/>
          <w:color w:val="auto"/>
          <w:sz w:val="22"/>
          <w:szCs w:val="22"/>
        </w:rPr>
        <w:t xml:space="preserve"> at the same time points. Discriminant </w:t>
      </w:r>
      <w:r w:rsidRPr="0073604B">
        <w:rPr>
          <w:rStyle w:val="highlight2"/>
          <w:b w:val="0"/>
          <w:color w:val="auto"/>
          <w:sz w:val="22"/>
          <w:szCs w:val="22"/>
        </w:rPr>
        <w:t>validity</w:t>
      </w:r>
      <w:r w:rsidRPr="0073604B">
        <w:rPr>
          <w:b w:val="0"/>
          <w:color w:val="auto"/>
          <w:sz w:val="22"/>
          <w:szCs w:val="22"/>
        </w:rPr>
        <w:t xml:space="preserve"> was described using paired t tests, whereas internal consistency was described using the Cronbach α statistic. Responsiveness of the Critical Care Pain Observation Tool </w:t>
      </w:r>
      <w:proofErr w:type="gramStart"/>
      <w:r w:rsidRPr="0073604B">
        <w:rPr>
          <w:b w:val="0"/>
          <w:color w:val="auto"/>
          <w:sz w:val="22"/>
          <w:szCs w:val="22"/>
        </w:rPr>
        <w:t>was measured</w:t>
      </w:r>
      <w:proofErr w:type="gramEnd"/>
      <w:r w:rsidRPr="0073604B">
        <w:rPr>
          <w:b w:val="0"/>
          <w:color w:val="auto"/>
          <w:sz w:val="22"/>
          <w:szCs w:val="22"/>
        </w:rPr>
        <w:t xml:space="preserve"> by effect size, and reliability was described as the </w:t>
      </w:r>
      <w:r w:rsidRPr="0073604B">
        <w:rPr>
          <w:rStyle w:val="highlight2"/>
          <w:b w:val="0"/>
          <w:color w:val="auto"/>
          <w:sz w:val="22"/>
          <w:szCs w:val="22"/>
        </w:rPr>
        <w:t>agreement</w:t>
      </w:r>
      <w:r w:rsidRPr="0073604B">
        <w:rPr>
          <w:b w:val="0"/>
          <w:color w:val="auto"/>
          <w:sz w:val="22"/>
          <w:szCs w:val="22"/>
        </w:rPr>
        <w:t xml:space="preserve"> between raters. Comparisons between the Critical Care Pain Observation Tool and the subjective</w:t>
      </w:r>
      <w:r w:rsidRPr="003D1DBC">
        <w:rPr>
          <w:b w:val="0"/>
          <w:color w:val="auto"/>
          <w:sz w:val="22"/>
          <w:szCs w:val="22"/>
        </w:rPr>
        <w:t xml:space="preserve"> assessments and objective measurements </w:t>
      </w:r>
      <w:proofErr w:type="gramStart"/>
      <w:r w:rsidRPr="003D1DBC">
        <w:rPr>
          <w:b w:val="0"/>
          <w:color w:val="auto"/>
          <w:sz w:val="22"/>
          <w:szCs w:val="22"/>
        </w:rPr>
        <w:t>were based</w:t>
      </w:r>
      <w:proofErr w:type="gramEnd"/>
      <w:r w:rsidRPr="003D1DBC">
        <w:rPr>
          <w:b w:val="0"/>
          <w:color w:val="auto"/>
          <w:sz w:val="22"/>
          <w:szCs w:val="22"/>
        </w:rPr>
        <w:t xml:space="preserve"> on positive and negative </w:t>
      </w:r>
      <w:r w:rsidRPr="003D1DBC">
        <w:rPr>
          <w:rStyle w:val="highlight2"/>
          <w:b w:val="0"/>
          <w:color w:val="auto"/>
          <w:sz w:val="22"/>
          <w:szCs w:val="22"/>
        </w:rPr>
        <w:t>percent</w:t>
      </w:r>
      <w:r w:rsidRPr="003D1DBC">
        <w:rPr>
          <w:b w:val="0"/>
          <w:color w:val="auto"/>
          <w:sz w:val="22"/>
          <w:szCs w:val="22"/>
        </w:rPr>
        <w:t xml:space="preserve"> </w:t>
      </w:r>
      <w:r w:rsidRPr="003D1DBC">
        <w:rPr>
          <w:rStyle w:val="highlight2"/>
          <w:b w:val="0"/>
          <w:color w:val="auto"/>
          <w:sz w:val="22"/>
          <w:szCs w:val="22"/>
        </w:rPr>
        <w:t>agreement</w:t>
      </w:r>
      <w:r w:rsidRPr="003D1DBC">
        <w:rPr>
          <w:b w:val="0"/>
          <w:color w:val="auto"/>
          <w:sz w:val="22"/>
          <w:szCs w:val="22"/>
        </w:rPr>
        <w:t xml:space="preserve">. Critical Care Pain Observation Tool demonstrated excellent discriminant </w:t>
      </w:r>
      <w:r w:rsidRPr="003D1DBC">
        <w:rPr>
          <w:rStyle w:val="highlight2"/>
          <w:b w:val="0"/>
          <w:color w:val="auto"/>
          <w:sz w:val="22"/>
          <w:szCs w:val="22"/>
        </w:rPr>
        <w:t>validity</w:t>
      </w:r>
      <w:r w:rsidRPr="003D1DBC">
        <w:rPr>
          <w:b w:val="0"/>
          <w:color w:val="auto"/>
          <w:sz w:val="22"/>
          <w:szCs w:val="22"/>
        </w:rPr>
        <w:t xml:space="preserve"> as evidenced by a highly statistically and clinically significant change in mean Critical Care Pain Observation Tool scores between baseline and painful procedures (mean difference, 3.13 ± 1.56; p &lt; 0.001; Cohen D, 2.0). Interrater </w:t>
      </w:r>
      <w:r w:rsidRPr="003D1DBC">
        <w:rPr>
          <w:rStyle w:val="highlight2"/>
          <w:b w:val="0"/>
          <w:color w:val="auto"/>
          <w:sz w:val="22"/>
          <w:szCs w:val="22"/>
        </w:rPr>
        <w:t>agreement</w:t>
      </w:r>
      <w:r w:rsidRPr="003D1DBC">
        <w:rPr>
          <w:b w:val="0"/>
          <w:color w:val="auto"/>
          <w:sz w:val="22"/>
          <w:szCs w:val="22"/>
        </w:rPr>
        <w:t xml:space="preserve"> was also excellent (κ &gt; 0.6), and scores between raters were highly correlated (r = 0.957). The Critical Care Pain Observation Tool possessed a high level of internal consistency (overall Cronbach α, 0.778). </w:t>
      </w:r>
      <w:r w:rsidRPr="003D1DBC">
        <w:rPr>
          <w:rStyle w:val="highlight2"/>
          <w:b w:val="0"/>
          <w:color w:val="auto"/>
          <w:sz w:val="22"/>
          <w:szCs w:val="22"/>
        </w:rPr>
        <w:t>Percent</w:t>
      </w:r>
      <w:r w:rsidRPr="003D1DBC">
        <w:rPr>
          <w:b w:val="0"/>
          <w:color w:val="auto"/>
          <w:sz w:val="22"/>
          <w:szCs w:val="22"/>
        </w:rPr>
        <w:t xml:space="preserve"> </w:t>
      </w:r>
      <w:r w:rsidRPr="003D1DBC">
        <w:rPr>
          <w:rStyle w:val="highlight2"/>
          <w:b w:val="0"/>
          <w:color w:val="auto"/>
          <w:sz w:val="22"/>
          <w:szCs w:val="22"/>
        </w:rPr>
        <w:t>agreement</w:t>
      </w:r>
      <w:r w:rsidRPr="003D1DBC">
        <w:rPr>
          <w:b w:val="0"/>
          <w:color w:val="auto"/>
          <w:sz w:val="22"/>
          <w:szCs w:val="22"/>
        </w:rPr>
        <w:t xml:space="preserve"> </w:t>
      </w:r>
      <w:proofErr w:type="gramStart"/>
      <w:r w:rsidRPr="003D1DBC">
        <w:rPr>
          <w:b w:val="0"/>
          <w:color w:val="auto"/>
          <w:sz w:val="22"/>
          <w:szCs w:val="22"/>
        </w:rPr>
        <w:t>was found</w:t>
      </w:r>
      <w:proofErr w:type="gramEnd"/>
      <w:r w:rsidRPr="003D1DBC">
        <w:rPr>
          <w:b w:val="0"/>
          <w:color w:val="auto"/>
          <w:sz w:val="22"/>
          <w:szCs w:val="22"/>
        </w:rPr>
        <w:t xml:space="preserve"> to be greater between the Critical Care Pain Observation Tool and the nurse's subjective opinion of the presence or absence of pain when compared with that between the Critical Care Pain Observation Tool and physiologic variables (80.5% vs 67.5%, respectively). CONCLUSIONS: The Critical Care Pain Observation Tool is a valid pain assessment tool in </w:t>
      </w:r>
      <w:proofErr w:type="spellStart"/>
      <w:r w:rsidRPr="003D1DBC">
        <w:rPr>
          <w:b w:val="0"/>
          <w:color w:val="auto"/>
          <w:sz w:val="22"/>
          <w:szCs w:val="22"/>
        </w:rPr>
        <w:t>noncomatose</w:t>
      </w:r>
      <w:proofErr w:type="spellEnd"/>
      <w:r w:rsidRPr="003D1DBC">
        <w:rPr>
          <w:b w:val="0"/>
          <w:color w:val="auto"/>
          <w:sz w:val="22"/>
          <w:szCs w:val="22"/>
        </w:rPr>
        <w:t xml:space="preserve">, delirious adult ICU patients who are unable </w:t>
      </w:r>
      <w:proofErr w:type="gramStart"/>
      <w:r w:rsidRPr="003D1DBC">
        <w:rPr>
          <w:b w:val="0"/>
          <w:color w:val="auto"/>
          <w:sz w:val="22"/>
          <w:szCs w:val="22"/>
        </w:rPr>
        <w:t>to reliably self-report</w:t>
      </w:r>
      <w:proofErr w:type="gramEnd"/>
      <w:r w:rsidRPr="003D1DBC">
        <w:rPr>
          <w:b w:val="0"/>
          <w:color w:val="auto"/>
          <w:sz w:val="22"/>
          <w:szCs w:val="22"/>
        </w:rPr>
        <w:t xml:space="preserve"> the presence or absence of pain.</w:t>
      </w:r>
    </w:p>
    <w:p w:rsidR="00145D40" w:rsidRDefault="00145D40"/>
    <w:p w:rsidR="00C34B59" w:rsidRPr="00511E1D" w:rsidRDefault="00C34B59" w:rsidP="00511E1D">
      <w:pPr>
        <w:pStyle w:val="ListParagraph"/>
        <w:numPr>
          <w:ilvl w:val="0"/>
          <w:numId w:val="1"/>
        </w:numPr>
        <w:rPr>
          <w:b/>
          <w:sz w:val="22"/>
          <w:szCs w:val="22"/>
        </w:rPr>
      </w:pPr>
      <w:r w:rsidRPr="00511E1D">
        <w:rPr>
          <w:sz w:val="22"/>
          <w:szCs w:val="22"/>
        </w:rPr>
        <w:t>The Critical Care Pain Observation Tool possessed a high level of internal consistency (overall Cronbach α, 0.778).</w:t>
      </w:r>
      <w:r w:rsidRPr="00511E1D">
        <w:rPr>
          <w:b/>
          <w:sz w:val="22"/>
          <w:szCs w:val="22"/>
        </w:rPr>
        <w:t xml:space="preserve">   reliability-internal consistency</w:t>
      </w:r>
    </w:p>
    <w:p w:rsidR="00C34B59" w:rsidRDefault="00C34B59">
      <w:pPr>
        <w:rPr>
          <w:b/>
          <w:sz w:val="22"/>
          <w:szCs w:val="22"/>
        </w:rPr>
      </w:pPr>
    </w:p>
    <w:p w:rsidR="00C34B59" w:rsidRPr="00511E1D" w:rsidRDefault="00C34B59" w:rsidP="00511E1D">
      <w:pPr>
        <w:pStyle w:val="ListParagraph"/>
        <w:numPr>
          <w:ilvl w:val="0"/>
          <w:numId w:val="1"/>
        </w:numPr>
        <w:rPr>
          <w:b/>
          <w:sz w:val="22"/>
          <w:szCs w:val="22"/>
        </w:rPr>
      </w:pPr>
      <w:r w:rsidRPr="00511E1D">
        <w:rPr>
          <w:sz w:val="22"/>
          <w:szCs w:val="22"/>
        </w:rPr>
        <w:t xml:space="preserve">Interrater </w:t>
      </w:r>
      <w:r w:rsidRPr="00511E1D">
        <w:rPr>
          <w:rStyle w:val="highlight2"/>
          <w:sz w:val="22"/>
          <w:szCs w:val="22"/>
        </w:rPr>
        <w:t>agreement</w:t>
      </w:r>
      <w:r w:rsidRPr="00511E1D">
        <w:rPr>
          <w:sz w:val="22"/>
          <w:szCs w:val="22"/>
        </w:rPr>
        <w:t xml:space="preserve"> was also excellent (κ &gt; 0.6), and scores between raters were highly correlated (r = 0.957).</w:t>
      </w:r>
      <w:r w:rsidRPr="00511E1D">
        <w:rPr>
          <w:b/>
          <w:sz w:val="22"/>
          <w:szCs w:val="22"/>
        </w:rPr>
        <w:t xml:space="preserve">   reliability</w:t>
      </w:r>
      <w:r w:rsidR="004808EA" w:rsidRPr="00511E1D">
        <w:rPr>
          <w:b/>
          <w:sz w:val="22"/>
          <w:szCs w:val="22"/>
        </w:rPr>
        <w:t xml:space="preserve">-interrater </w:t>
      </w:r>
      <w:r w:rsidRPr="00511E1D">
        <w:rPr>
          <w:b/>
          <w:sz w:val="22"/>
          <w:szCs w:val="22"/>
        </w:rPr>
        <w:t xml:space="preserve"> </w:t>
      </w:r>
    </w:p>
    <w:p w:rsidR="00C34B59" w:rsidRDefault="00C34B59">
      <w:pPr>
        <w:rPr>
          <w:b/>
          <w:sz w:val="22"/>
          <w:szCs w:val="22"/>
        </w:rPr>
      </w:pPr>
    </w:p>
    <w:p w:rsidR="00C34B59" w:rsidRPr="00511E1D" w:rsidRDefault="00C34B59" w:rsidP="00511E1D">
      <w:pPr>
        <w:pStyle w:val="ListParagraph"/>
        <w:numPr>
          <w:ilvl w:val="0"/>
          <w:numId w:val="1"/>
        </w:numPr>
        <w:rPr>
          <w:b/>
          <w:sz w:val="22"/>
          <w:szCs w:val="22"/>
        </w:rPr>
      </w:pPr>
      <w:r w:rsidRPr="00511E1D">
        <w:rPr>
          <w:sz w:val="22"/>
          <w:szCs w:val="22"/>
        </w:rPr>
        <w:t xml:space="preserve">Critical Care Pain Observation Tool demonstrated excellent discriminant </w:t>
      </w:r>
      <w:r w:rsidRPr="00511E1D">
        <w:rPr>
          <w:rStyle w:val="highlight2"/>
          <w:sz w:val="22"/>
          <w:szCs w:val="22"/>
        </w:rPr>
        <w:t>validity</w:t>
      </w:r>
      <w:r w:rsidRPr="00511E1D">
        <w:rPr>
          <w:sz w:val="22"/>
          <w:szCs w:val="22"/>
        </w:rPr>
        <w:t xml:space="preserve"> as evidenced by a highly statistically and clinically significant change in mean Critical Care Pain Observation Tool scores between baseline and painful procedures (mean difference, 3.13 ± 1.56; p &lt; 0.001; Cohen D, 2.0).</w:t>
      </w:r>
      <w:r w:rsidRPr="00511E1D">
        <w:rPr>
          <w:b/>
          <w:sz w:val="22"/>
          <w:szCs w:val="22"/>
        </w:rPr>
        <w:t xml:space="preserve">    </w:t>
      </w:r>
      <w:r w:rsidR="004808EA" w:rsidRPr="00511E1D">
        <w:rPr>
          <w:b/>
          <w:sz w:val="22"/>
          <w:szCs w:val="22"/>
        </w:rPr>
        <w:t>validity-</w:t>
      </w:r>
      <w:r w:rsidRPr="00511E1D">
        <w:rPr>
          <w:b/>
          <w:sz w:val="22"/>
          <w:szCs w:val="22"/>
        </w:rPr>
        <w:t>construct validity</w:t>
      </w:r>
    </w:p>
    <w:p w:rsidR="00C34B59" w:rsidRDefault="00C34B59">
      <w:pPr>
        <w:rPr>
          <w:b/>
          <w:sz w:val="22"/>
          <w:szCs w:val="22"/>
        </w:rPr>
      </w:pPr>
    </w:p>
    <w:p w:rsidR="00C34B59" w:rsidRPr="00511E1D" w:rsidRDefault="00C34B59" w:rsidP="00511E1D">
      <w:pPr>
        <w:pStyle w:val="ListParagraph"/>
        <w:numPr>
          <w:ilvl w:val="0"/>
          <w:numId w:val="1"/>
        </w:numPr>
        <w:rPr>
          <w:b/>
          <w:sz w:val="22"/>
          <w:szCs w:val="22"/>
        </w:rPr>
      </w:pPr>
      <w:r w:rsidRPr="00511E1D">
        <w:rPr>
          <w:rStyle w:val="highlight2"/>
          <w:sz w:val="22"/>
          <w:szCs w:val="22"/>
        </w:rPr>
        <w:t>Percent</w:t>
      </w:r>
      <w:r w:rsidRPr="00511E1D">
        <w:rPr>
          <w:sz w:val="22"/>
          <w:szCs w:val="22"/>
        </w:rPr>
        <w:t xml:space="preserve"> </w:t>
      </w:r>
      <w:r w:rsidRPr="00511E1D">
        <w:rPr>
          <w:rStyle w:val="highlight2"/>
          <w:sz w:val="22"/>
          <w:szCs w:val="22"/>
        </w:rPr>
        <w:t>agreement</w:t>
      </w:r>
      <w:r w:rsidRPr="00511E1D">
        <w:rPr>
          <w:sz w:val="22"/>
          <w:szCs w:val="22"/>
        </w:rPr>
        <w:t xml:space="preserve"> </w:t>
      </w:r>
      <w:proofErr w:type="gramStart"/>
      <w:r w:rsidRPr="00511E1D">
        <w:rPr>
          <w:sz w:val="22"/>
          <w:szCs w:val="22"/>
        </w:rPr>
        <w:t>was found</w:t>
      </w:r>
      <w:proofErr w:type="gramEnd"/>
      <w:r w:rsidRPr="00511E1D">
        <w:rPr>
          <w:sz w:val="22"/>
          <w:szCs w:val="22"/>
        </w:rPr>
        <w:t xml:space="preserve"> to be greater between the Critical Care Pain Observation Tool and the nurse's subjective opinion of the presence or absence of pain when compared with that between the Critical Care Pain Observation Tool and physiologic variables (80.5% vs 67.5%, respectively).</w:t>
      </w:r>
      <w:r w:rsidR="00511E1D">
        <w:rPr>
          <w:sz w:val="22"/>
          <w:szCs w:val="22"/>
        </w:rPr>
        <w:t xml:space="preserve">  </w:t>
      </w:r>
      <w:r w:rsidR="00511E1D" w:rsidRPr="00511E1D">
        <w:rPr>
          <w:b/>
          <w:sz w:val="22"/>
          <w:szCs w:val="22"/>
        </w:rPr>
        <w:t>v</w:t>
      </w:r>
      <w:r w:rsidR="004808EA" w:rsidRPr="00511E1D">
        <w:rPr>
          <w:b/>
          <w:sz w:val="22"/>
          <w:szCs w:val="22"/>
        </w:rPr>
        <w:t xml:space="preserve">alidity- </w:t>
      </w:r>
      <w:r w:rsidRPr="00511E1D">
        <w:rPr>
          <w:b/>
          <w:sz w:val="22"/>
          <w:szCs w:val="22"/>
        </w:rPr>
        <w:t>Criterion related validity (concurrent- collect at same time points</w:t>
      </w:r>
      <w:r w:rsidR="004808EA" w:rsidRPr="00511E1D">
        <w:rPr>
          <w:b/>
          <w:sz w:val="22"/>
          <w:szCs w:val="22"/>
        </w:rPr>
        <w:t>)</w:t>
      </w:r>
    </w:p>
    <w:p w:rsidR="001B1DF7" w:rsidRDefault="001B1DF7">
      <w:pPr>
        <w:rPr>
          <w:sz w:val="22"/>
          <w:szCs w:val="22"/>
        </w:rPr>
      </w:pPr>
    </w:p>
    <w:bookmarkStart w:id="0" w:name="_GoBack"/>
    <w:bookmarkEnd w:id="0"/>
    <w:p w:rsidR="00172BDF" w:rsidRPr="00511E1D" w:rsidRDefault="004808EA" w:rsidP="00511E1D">
      <w:pPr>
        <w:pStyle w:val="ListParagraph"/>
        <w:numPr>
          <w:ilvl w:val="0"/>
          <w:numId w:val="2"/>
        </w:numPr>
        <w:shd w:val="clear" w:color="auto" w:fill="FFFFFF"/>
        <w:ind w:left="270" w:hanging="270"/>
        <w:rPr>
          <w:sz w:val="16"/>
          <w:szCs w:val="16"/>
          <w:lang w:val="en"/>
        </w:rPr>
      </w:pPr>
      <w:r w:rsidRPr="00511E1D">
        <w:rPr>
          <w:sz w:val="16"/>
          <w:szCs w:val="16"/>
          <w:lang w:val="en"/>
        </w:rPr>
        <w:lastRenderedPageBreak/>
        <w:fldChar w:fldCharType="begin"/>
      </w:r>
      <w:r w:rsidRPr="00511E1D">
        <w:rPr>
          <w:sz w:val="16"/>
          <w:szCs w:val="16"/>
          <w:lang w:val="en"/>
        </w:rPr>
        <w:instrText xml:space="preserve"> HYPERLINK "https://www.ncbi.nlm.nih.gov/pubmed/?term=Hui-Shan%20Neo%20S%5BAuthor%5D&amp;cauthor=true&amp;cauthor_uid=31349035" </w:instrText>
      </w:r>
      <w:r w:rsidRPr="00511E1D">
        <w:rPr>
          <w:sz w:val="16"/>
          <w:szCs w:val="16"/>
          <w:lang w:val="en"/>
        </w:rPr>
        <w:fldChar w:fldCharType="separate"/>
      </w:r>
      <w:r w:rsidRPr="00511E1D">
        <w:rPr>
          <w:color w:val="2F4A8B"/>
          <w:sz w:val="16"/>
          <w:szCs w:val="16"/>
          <w:u w:val="single"/>
          <w:lang w:val="en"/>
        </w:rPr>
        <w:t>Hui-Shan Neo S</w:t>
      </w:r>
      <w:r w:rsidRPr="00511E1D">
        <w:rPr>
          <w:sz w:val="16"/>
          <w:szCs w:val="16"/>
          <w:lang w:val="en"/>
        </w:rPr>
        <w:fldChar w:fldCharType="end"/>
      </w:r>
      <w:r w:rsidRPr="00511E1D">
        <w:rPr>
          <w:sz w:val="16"/>
          <w:szCs w:val="16"/>
          <w:vertAlign w:val="superscript"/>
          <w:lang w:val="en"/>
        </w:rPr>
        <w:t>1</w:t>
      </w:r>
      <w:r w:rsidRPr="00511E1D">
        <w:rPr>
          <w:sz w:val="16"/>
          <w:szCs w:val="16"/>
          <w:lang w:val="en"/>
        </w:rPr>
        <w:t xml:space="preserve">, </w:t>
      </w:r>
      <w:hyperlink r:id="rId14" w:history="1">
        <w:r w:rsidRPr="00511E1D">
          <w:rPr>
            <w:color w:val="2F4A8B"/>
            <w:sz w:val="16"/>
            <w:szCs w:val="16"/>
            <w:u w:val="single"/>
            <w:lang w:val="en"/>
          </w:rPr>
          <w:t>Mei-Juan Yang G</w:t>
        </w:r>
      </w:hyperlink>
      <w:r w:rsidRPr="00511E1D">
        <w:rPr>
          <w:sz w:val="16"/>
          <w:szCs w:val="16"/>
          <w:vertAlign w:val="superscript"/>
          <w:lang w:val="en"/>
        </w:rPr>
        <w:t>2</w:t>
      </w:r>
      <w:r w:rsidRPr="00511E1D">
        <w:rPr>
          <w:sz w:val="16"/>
          <w:szCs w:val="16"/>
          <w:lang w:val="en"/>
        </w:rPr>
        <w:t xml:space="preserve">, </w:t>
      </w:r>
      <w:hyperlink r:id="rId15" w:history="1">
        <w:proofErr w:type="spellStart"/>
        <w:r w:rsidRPr="00511E1D">
          <w:rPr>
            <w:color w:val="2F4A8B"/>
            <w:sz w:val="16"/>
            <w:szCs w:val="16"/>
            <w:u w:val="single"/>
            <w:lang w:val="en"/>
          </w:rPr>
          <w:t>Kanesvaran</w:t>
        </w:r>
        <w:proofErr w:type="spellEnd"/>
        <w:r w:rsidRPr="00511E1D">
          <w:rPr>
            <w:color w:val="2F4A8B"/>
            <w:sz w:val="16"/>
            <w:szCs w:val="16"/>
            <w:u w:val="single"/>
            <w:lang w:val="en"/>
          </w:rPr>
          <w:t xml:space="preserve"> R</w:t>
        </w:r>
      </w:hyperlink>
      <w:r w:rsidRPr="00511E1D">
        <w:rPr>
          <w:sz w:val="16"/>
          <w:szCs w:val="16"/>
          <w:vertAlign w:val="superscript"/>
          <w:lang w:val="en"/>
        </w:rPr>
        <w:t>3</w:t>
      </w:r>
      <w:r w:rsidRPr="00511E1D">
        <w:rPr>
          <w:sz w:val="16"/>
          <w:szCs w:val="16"/>
          <w:lang w:val="en"/>
        </w:rPr>
        <w:t xml:space="preserve">, </w:t>
      </w:r>
      <w:hyperlink r:id="rId16" w:history="1">
        <w:r w:rsidRPr="00511E1D">
          <w:rPr>
            <w:color w:val="2F4A8B"/>
            <w:sz w:val="16"/>
            <w:szCs w:val="16"/>
            <w:u w:val="single"/>
            <w:lang w:val="en"/>
          </w:rPr>
          <w:t>Cheung YB</w:t>
        </w:r>
      </w:hyperlink>
      <w:r w:rsidRPr="00511E1D">
        <w:rPr>
          <w:sz w:val="16"/>
          <w:szCs w:val="16"/>
          <w:vertAlign w:val="superscript"/>
          <w:lang w:val="en"/>
        </w:rPr>
        <w:t>4</w:t>
      </w:r>
      <w:r w:rsidRPr="00511E1D">
        <w:rPr>
          <w:sz w:val="16"/>
          <w:szCs w:val="16"/>
          <w:lang w:val="en"/>
        </w:rPr>
        <w:t>.</w:t>
      </w:r>
      <w:r w:rsidRPr="00511E1D">
        <w:rPr>
          <w:sz w:val="16"/>
          <w:szCs w:val="16"/>
          <w:lang w:val="en"/>
        </w:rPr>
        <w:t xml:space="preserve"> </w:t>
      </w:r>
      <w:r w:rsidR="00172BDF" w:rsidRPr="00511E1D">
        <w:rPr>
          <w:sz w:val="16"/>
          <w:szCs w:val="16"/>
          <w:lang w:val="en"/>
        </w:rPr>
        <w:t>Translation and validation of the 10-item FAMCARE scale to assess satisfaction of family caregivers with care given to cancer patients.</w:t>
      </w:r>
      <w:r w:rsidRPr="00511E1D">
        <w:rPr>
          <w:sz w:val="16"/>
          <w:szCs w:val="16"/>
          <w:lang w:val="en"/>
        </w:rPr>
        <w:t xml:space="preserve"> </w:t>
      </w:r>
      <w:hyperlink r:id="rId17" w:tooltip="Journal of pain and symptom management." w:history="1">
        <w:r w:rsidRPr="00511E1D">
          <w:rPr>
            <w:color w:val="2F4A8B"/>
            <w:sz w:val="16"/>
            <w:szCs w:val="16"/>
            <w:u w:val="single"/>
            <w:lang w:val="en"/>
          </w:rPr>
          <w:t>Pain Symptom Manage.</w:t>
        </w:r>
      </w:hyperlink>
      <w:r w:rsidRPr="00511E1D">
        <w:rPr>
          <w:sz w:val="16"/>
          <w:szCs w:val="16"/>
          <w:lang w:val="en"/>
        </w:rPr>
        <w:t xml:space="preserve"> </w:t>
      </w:r>
      <w:proofErr w:type="gramStart"/>
      <w:r w:rsidRPr="00511E1D">
        <w:rPr>
          <w:sz w:val="16"/>
          <w:szCs w:val="16"/>
          <w:lang w:val="en"/>
        </w:rPr>
        <w:t>2019</w:t>
      </w:r>
      <w:proofErr w:type="gramEnd"/>
      <w:r w:rsidRPr="00511E1D">
        <w:rPr>
          <w:sz w:val="16"/>
          <w:szCs w:val="16"/>
          <w:lang w:val="en"/>
        </w:rPr>
        <w:t xml:space="preserve"> Jul 23. </w:t>
      </w:r>
      <w:proofErr w:type="spellStart"/>
      <w:proofErr w:type="gramStart"/>
      <w:r w:rsidRPr="00511E1D">
        <w:rPr>
          <w:sz w:val="16"/>
          <w:szCs w:val="16"/>
          <w:lang w:val="en"/>
        </w:rPr>
        <w:t>pii</w:t>
      </w:r>
      <w:proofErr w:type="spellEnd"/>
      <w:proofErr w:type="gramEnd"/>
      <w:r w:rsidRPr="00511E1D">
        <w:rPr>
          <w:sz w:val="16"/>
          <w:szCs w:val="16"/>
          <w:lang w:val="en"/>
        </w:rPr>
        <w:t xml:space="preserve">: S0885-3924(19)30391-4. </w:t>
      </w:r>
      <w:proofErr w:type="spellStart"/>
      <w:proofErr w:type="gramStart"/>
      <w:r w:rsidRPr="00511E1D">
        <w:rPr>
          <w:sz w:val="16"/>
          <w:szCs w:val="16"/>
          <w:lang w:val="en"/>
        </w:rPr>
        <w:t>doi</w:t>
      </w:r>
      <w:proofErr w:type="spellEnd"/>
      <w:proofErr w:type="gramEnd"/>
      <w:r w:rsidRPr="00511E1D">
        <w:rPr>
          <w:sz w:val="16"/>
          <w:szCs w:val="16"/>
          <w:lang w:val="en"/>
        </w:rPr>
        <w:t>: 10.1016/j.jpainsymman.2019.07.018. [</w:t>
      </w:r>
      <w:proofErr w:type="spellStart"/>
      <w:r w:rsidRPr="00511E1D">
        <w:rPr>
          <w:sz w:val="16"/>
          <w:szCs w:val="16"/>
          <w:lang w:val="en"/>
        </w:rPr>
        <w:t>Epub</w:t>
      </w:r>
      <w:proofErr w:type="spellEnd"/>
      <w:r w:rsidRPr="00511E1D">
        <w:rPr>
          <w:sz w:val="16"/>
          <w:szCs w:val="16"/>
          <w:lang w:val="en"/>
        </w:rPr>
        <w:t xml:space="preserve"> ahead of print</w:t>
      </w:r>
      <w:r w:rsidRPr="00511E1D">
        <w:rPr>
          <w:sz w:val="16"/>
          <w:szCs w:val="16"/>
          <w:lang w:val="en"/>
        </w:rPr>
        <w:t>]</w:t>
      </w:r>
    </w:p>
    <w:p w:rsidR="004808EA" w:rsidRDefault="004808EA" w:rsidP="004808EA">
      <w:pPr>
        <w:pStyle w:val="NormalWeb"/>
        <w:shd w:val="clear" w:color="auto" w:fill="FFFFFF"/>
        <w:spacing w:before="0" w:beforeAutospacing="0" w:after="0" w:afterAutospacing="0"/>
        <w:rPr>
          <w:sz w:val="22"/>
          <w:szCs w:val="22"/>
          <w:lang w:val="en"/>
        </w:rPr>
      </w:pPr>
    </w:p>
    <w:p w:rsidR="00172BDF" w:rsidRPr="004808EA" w:rsidRDefault="00172BDF" w:rsidP="004808EA">
      <w:pPr>
        <w:pStyle w:val="NormalWeb"/>
        <w:shd w:val="clear" w:color="auto" w:fill="FFFFFF"/>
        <w:spacing w:before="0" w:beforeAutospacing="0" w:after="0" w:afterAutospacing="0"/>
        <w:rPr>
          <w:sz w:val="22"/>
          <w:szCs w:val="22"/>
          <w:lang w:val="en"/>
        </w:rPr>
      </w:pPr>
      <w:r w:rsidRPr="004808EA">
        <w:rPr>
          <w:sz w:val="22"/>
          <w:szCs w:val="22"/>
          <w:lang w:val="en"/>
        </w:rPr>
        <w:t>Family satisfaction with care is an important quality indicator in palliative care.</w:t>
      </w:r>
      <w:r w:rsidR="004808EA">
        <w:rPr>
          <w:sz w:val="22"/>
          <w:szCs w:val="22"/>
          <w:lang w:val="en"/>
        </w:rPr>
        <w:t xml:space="preserve"> </w:t>
      </w:r>
      <w:r w:rsidRPr="004808EA">
        <w:rPr>
          <w:sz w:val="22"/>
          <w:szCs w:val="22"/>
          <w:lang w:val="en"/>
        </w:rPr>
        <w:t>This study aimed to translate and validate the 10-item Family Satisfaction with End-of-Life Care (FAMCARE) tool.</w:t>
      </w:r>
    </w:p>
    <w:p w:rsidR="00172BDF" w:rsidRPr="00967C89" w:rsidRDefault="00172BDF" w:rsidP="004808EA">
      <w:pPr>
        <w:pStyle w:val="Heading4"/>
        <w:shd w:val="clear" w:color="auto" w:fill="FFFFFF"/>
        <w:spacing w:before="0" w:after="0"/>
        <w:rPr>
          <w:b w:val="0"/>
          <w:color w:val="auto"/>
          <w:sz w:val="22"/>
          <w:szCs w:val="22"/>
          <w:lang w:val="en"/>
        </w:rPr>
      </w:pPr>
      <w:r w:rsidRPr="004808EA">
        <w:rPr>
          <w:b w:val="0"/>
          <w:color w:val="auto"/>
          <w:sz w:val="22"/>
          <w:szCs w:val="22"/>
          <w:lang w:val="en"/>
        </w:rPr>
        <w:t xml:space="preserve">Family caregivers of patients with advanced cancer </w:t>
      </w:r>
      <w:proofErr w:type="gramStart"/>
      <w:r w:rsidRPr="004808EA">
        <w:rPr>
          <w:b w:val="0"/>
          <w:color w:val="auto"/>
          <w:sz w:val="22"/>
          <w:szCs w:val="22"/>
          <w:lang w:val="en"/>
        </w:rPr>
        <w:t>were recruited</w:t>
      </w:r>
      <w:proofErr w:type="gramEnd"/>
      <w:r w:rsidRPr="004808EA">
        <w:rPr>
          <w:b w:val="0"/>
          <w:color w:val="auto"/>
          <w:sz w:val="22"/>
          <w:szCs w:val="22"/>
          <w:lang w:val="en"/>
        </w:rPr>
        <w:t xml:space="preserve">. FAMCARE </w:t>
      </w:r>
      <w:proofErr w:type="gramStart"/>
      <w:r w:rsidRPr="004808EA">
        <w:rPr>
          <w:b w:val="0"/>
          <w:color w:val="auto"/>
          <w:sz w:val="22"/>
          <w:szCs w:val="22"/>
          <w:lang w:val="en"/>
        </w:rPr>
        <w:t>was translated</w:t>
      </w:r>
      <w:proofErr w:type="gramEnd"/>
      <w:r w:rsidRPr="004808EA">
        <w:rPr>
          <w:b w:val="0"/>
          <w:color w:val="auto"/>
          <w:sz w:val="22"/>
          <w:szCs w:val="22"/>
          <w:lang w:val="en"/>
        </w:rPr>
        <w:t xml:space="preserve"> from English to Chinese using a forward and backward translation process. Chinese-speaking caregivers </w:t>
      </w:r>
      <w:proofErr w:type="gramStart"/>
      <w:r w:rsidRPr="004808EA">
        <w:rPr>
          <w:b w:val="0"/>
          <w:color w:val="auto"/>
          <w:sz w:val="22"/>
          <w:szCs w:val="22"/>
          <w:lang w:val="en"/>
        </w:rPr>
        <w:t>were interviewed</w:t>
      </w:r>
      <w:proofErr w:type="gramEnd"/>
      <w:r w:rsidRPr="004808EA">
        <w:rPr>
          <w:b w:val="0"/>
          <w:color w:val="auto"/>
          <w:sz w:val="22"/>
          <w:szCs w:val="22"/>
          <w:lang w:val="en"/>
        </w:rPr>
        <w:t xml:space="preserve"> with the preliminary Chinese FAMCARE and phrasing was edited to ensure clarity of the items. Subsequently, a baseline and follow-up survey in English and the finalized Chinese version </w:t>
      </w:r>
      <w:proofErr w:type="gramStart"/>
      <w:r w:rsidRPr="004808EA">
        <w:rPr>
          <w:b w:val="0"/>
          <w:color w:val="auto"/>
          <w:sz w:val="22"/>
          <w:szCs w:val="22"/>
          <w:lang w:val="en"/>
        </w:rPr>
        <w:t>was performed</w:t>
      </w:r>
      <w:proofErr w:type="gramEnd"/>
      <w:r w:rsidRPr="004808EA">
        <w:rPr>
          <w:b w:val="0"/>
          <w:color w:val="auto"/>
          <w:sz w:val="22"/>
          <w:szCs w:val="22"/>
          <w:lang w:val="en"/>
        </w:rPr>
        <w:t xml:space="preserve"> to assess psychometric properties. Cronbach's alpha (α) and </w:t>
      </w:r>
      <w:proofErr w:type="spellStart"/>
      <w:r w:rsidRPr="004808EA">
        <w:rPr>
          <w:b w:val="0"/>
          <w:color w:val="auto"/>
          <w:sz w:val="22"/>
          <w:szCs w:val="22"/>
          <w:lang w:val="en"/>
        </w:rPr>
        <w:t>intraclass</w:t>
      </w:r>
      <w:proofErr w:type="spellEnd"/>
      <w:r w:rsidRPr="004808EA">
        <w:rPr>
          <w:b w:val="0"/>
          <w:color w:val="auto"/>
          <w:sz w:val="22"/>
          <w:szCs w:val="22"/>
          <w:lang w:val="en"/>
        </w:rPr>
        <w:t xml:space="preserve"> Coefficient (ICC) </w:t>
      </w:r>
      <w:proofErr w:type="gramStart"/>
      <w:r w:rsidRPr="004808EA">
        <w:rPr>
          <w:b w:val="0"/>
          <w:color w:val="auto"/>
          <w:sz w:val="22"/>
          <w:szCs w:val="22"/>
          <w:lang w:val="en"/>
        </w:rPr>
        <w:t>were used</w:t>
      </w:r>
      <w:proofErr w:type="gramEnd"/>
      <w:r w:rsidRPr="004808EA">
        <w:rPr>
          <w:b w:val="0"/>
          <w:color w:val="auto"/>
          <w:sz w:val="22"/>
          <w:szCs w:val="22"/>
          <w:lang w:val="en"/>
        </w:rPr>
        <w:t xml:space="preserve"> for internal consistency and test-retest </w:t>
      </w:r>
      <w:r w:rsidRPr="004808EA">
        <w:rPr>
          <w:rStyle w:val="highlight"/>
          <w:b w:val="0"/>
          <w:color w:val="auto"/>
          <w:sz w:val="22"/>
          <w:szCs w:val="22"/>
          <w:lang w:val="en"/>
        </w:rPr>
        <w:t>reliability</w:t>
      </w:r>
      <w:r w:rsidRPr="004808EA">
        <w:rPr>
          <w:b w:val="0"/>
          <w:color w:val="auto"/>
          <w:sz w:val="22"/>
          <w:szCs w:val="22"/>
          <w:lang w:val="en"/>
        </w:rPr>
        <w:t xml:space="preserve">, respectively. </w:t>
      </w:r>
      <w:r w:rsidRPr="004808EA">
        <w:rPr>
          <w:rStyle w:val="highlight"/>
          <w:b w:val="0"/>
          <w:color w:val="auto"/>
          <w:sz w:val="22"/>
          <w:szCs w:val="22"/>
          <w:lang w:val="en"/>
        </w:rPr>
        <w:t>Validity</w:t>
      </w:r>
      <w:r w:rsidRPr="004808EA">
        <w:rPr>
          <w:b w:val="0"/>
          <w:color w:val="auto"/>
          <w:sz w:val="22"/>
          <w:szCs w:val="22"/>
          <w:lang w:val="en"/>
        </w:rPr>
        <w:t xml:space="preserve"> </w:t>
      </w:r>
      <w:proofErr w:type="gramStart"/>
      <w:r w:rsidRPr="004808EA">
        <w:rPr>
          <w:b w:val="0"/>
          <w:color w:val="auto"/>
          <w:sz w:val="22"/>
          <w:szCs w:val="22"/>
          <w:lang w:val="en"/>
        </w:rPr>
        <w:t>was assessed</w:t>
      </w:r>
      <w:proofErr w:type="gramEnd"/>
      <w:r w:rsidRPr="004808EA">
        <w:rPr>
          <w:b w:val="0"/>
          <w:color w:val="auto"/>
          <w:sz w:val="22"/>
          <w:szCs w:val="22"/>
          <w:lang w:val="en"/>
        </w:rPr>
        <w:t xml:space="preserve"> with </w:t>
      </w:r>
      <w:r w:rsidRPr="00967C89">
        <w:rPr>
          <w:b w:val="0"/>
          <w:color w:val="auto"/>
          <w:sz w:val="22"/>
          <w:szCs w:val="22"/>
          <w:lang w:val="en"/>
        </w:rPr>
        <w:t xml:space="preserve">Spearman's correlation coefficient (r). The Comprehensive Needs Assessment Tool-Caregiver (CNAT-C) and a one-item assessment by caregivers regarding "good-care" acted as </w:t>
      </w:r>
      <w:r w:rsidRPr="00967C89">
        <w:rPr>
          <w:rStyle w:val="highlight"/>
          <w:b w:val="0"/>
          <w:color w:val="auto"/>
          <w:sz w:val="22"/>
          <w:szCs w:val="22"/>
          <w:lang w:val="en"/>
        </w:rPr>
        <w:t>validity</w:t>
      </w:r>
      <w:r w:rsidRPr="00967C89">
        <w:rPr>
          <w:b w:val="0"/>
          <w:color w:val="auto"/>
          <w:sz w:val="22"/>
          <w:szCs w:val="22"/>
          <w:lang w:val="en"/>
        </w:rPr>
        <w:t xml:space="preserve"> criterion. Pooled analysis of both languages and language-s</w:t>
      </w:r>
      <w:r w:rsidR="004808EA" w:rsidRPr="00967C89">
        <w:rPr>
          <w:b w:val="0"/>
          <w:color w:val="auto"/>
          <w:sz w:val="22"/>
          <w:szCs w:val="22"/>
          <w:lang w:val="en"/>
        </w:rPr>
        <w:t>pecific analyses were performed,</w:t>
      </w:r>
      <w:r w:rsidRPr="00967C89">
        <w:rPr>
          <w:b w:val="0"/>
          <w:color w:val="auto"/>
          <w:sz w:val="22"/>
          <w:szCs w:val="22"/>
          <w:lang w:val="en"/>
        </w:rPr>
        <w:t xml:space="preserve"> </w:t>
      </w:r>
      <w:proofErr w:type="gramStart"/>
      <w:r w:rsidRPr="00967C89">
        <w:rPr>
          <w:b w:val="0"/>
          <w:color w:val="auto"/>
          <w:sz w:val="22"/>
          <w:szCs w:val="22"/>
          <w:lang w:val="en"/>
        </w:rPr>
        <w:t>There</w:t>
      </w:r>
      <w:proofErr w:type="gramEnd"/>
      <w:r w:rsidRPr="00967C89">
        <w:rPr>
          <w:b w:val="0"/>
          <w:color w:val="auto"/>
          <w:sz w:val="22"/>
          <w:szCs w:val="22"/>
          <w:lang w:val="en"/>
        </w:rPr>
        <w:t xml:space="preserve"> were 259 participants; 134 and 125 participants filled in the English and Chinese versions respectively. Pooled analysis showed that the ICC of FAMCARE was 0.95; α was 0.91. There was moderate positive correlation of the total FAMCARE scores with "good-care" (r = 0.54) and moderate negative correlation of the total FAMCARE score with the CNAT-C "Healthcare Staff" domain (r = 0.41). There was weak negative correlation of the total FAMCARE score with the CNAT-C domain of "family and social support" (r = -0.13). Language-specific analyses revealed similar results regarding FAMCARE's psychometric properties.</w:t>
      </w:r>
    </w:p>
    <w:p w:rsidR="00172BDF" w:rsidRPr="00967C89" w:rsidRDefault="00172BDF" w:rsidP="004808EA">
      <w:pPr>
        <w:pStyle w:val="Heading4"/>
        <w:shd w:val="clear" w:color="auto" w:fill="FFFFFF"/>
        <w:spacing w:before="0" w:after="0"/>
        <w:rPr>
          <w:b w:val="0"/>
          <w:color w:val="auto"/>
          <w:sz w:val="22"/>
          <w:szCs w:val="22"/>
          <w:lang w:val="en"/>
        </w:rPr>
      </w:pPr>
      <w:r w:rsidRPr="00967C89">
        <w:rPr>
          <w:b w:val="0"/>
          <w:color w:val="auto"/>
          <w:sz w:val="22"/>
          <w:szCs w:val="22"/>
          <w:lang w:val="en"/>
        </w:rPr>
        <w:t xml:space="preserve">CONCLUSION: FAMCARE showed good </w:t>
      </w:r>
      <w:r w:rsidRPr="00967C89">
        <w:rPr>
          <w:rStyle w:val="highlight"/>
          <w:b w:val="0"/>
          <w:color w:val="auto"/>
          <w:sz w:val="22"/>
          <w:szCs w:val="22"/>
          <w:lang w:val="en"/>
        </w:rPr>
        <w:t>reliability</w:t>
      </w:r>
      <w:r w:rsidRPr="00967C89">
        <w:rPr>
          <w:b w:val="0"/>
          <w:color w:val="auto"/>
          <w:sz w:val="22"/>
          <w:szCs w:val="22"/>
          <w:lang w:val="en"/>
        </w:rPr>
        <w:t xml:space="preserve"> and </w:t>
      </w:r>
      <w:r w:rsidRPr="00967C89">
        <w:rPr>
          <w:rStyle w:val="highlight"/>
          <w:b w:val="0"/>
          <w:color w:val="auto"/>
          <w:sz w:val="22"/>
          <w:szCs w:val="22"/>
          <w:lang w:val="en"/>
        </w:rPr>
        <w:t>validity</w:t>
      </w:r>
      <w:r w:rsidRPr="00967C89">
        <w:rPr>
          <w:b w:val="0"/>
          <w:color w:val="auto"/>
          <w:sz w:val="22"/>
          <w:szCs w:val="22"/>
          <w:lang w:val="en"/>
        </w:rPr>
        <w:t>.</w:t>
      </w:r>
    </w:p>
    <w:p w:rsidR="004808EA" w:rsidRPr="00967C89" w:rsidRDefault="004808EA">
      <w:pPr>
        <w:rPr>
          <w:color w:val="505050"/>
          <w:sz w:val="22"/>
          <w:szCs w:val="22"/>
          <w:lang w:val="en"/>
        </w:rPr>
      </w:pPr>
    </w:p>
    <w:p w:rsidR="00172BDF" w:rsidRPr="00967C89" w:rsidRDefault="004808EA" w:rsidP="00967C89">
      <w:pPr>
        <w:pStyle w:val="ListParagraph"/>
        <w:numPr>
          <w:ilvl w:val="0"/>
          <w:numId w:val="4"/>
        </w:numPr>
        <w:rPr>
          <w:color w:val="505050"/>
          <w:sz w:val="22"/>
          <w:szCs w:val="22"/>
          <w:lang w:val="en"/>
        </w:rPr>
      </w:pPr>
      <w:r w:rsidRPr="00967C89">
        <w:rPr>
          <w:sz w:val="22"/>
          <w:szCs w:val="22"/>
          <w:lang w:val="en"/>
        </w:rPr>
        <w:t>There was moderate positive correlation of the total FAMCARE scores with "good-care" (r = 0.54) and moderate negative correlation of the total FAMCARE score with the CNAT-C "Healthcare Staff" domain (r = 0.41).</w:t>
      </w:r>
      <w:r w:rsidRPr="00967C89">
        <w:rPr>
          <w:sz w:val="22"/>
          <w:szCs w:val="22"/>
          <w:lang w:val="en"/>
        </w:rPr>
        <w:t xml:space="preserve"> </w:t>
      </w:r>
      <w:r w:rsidR="00514DAE" w:rsidRPr="00514DAE">
        <w:rPr>
          <w:b/>
          <w:sz w:val="22"/>
          <w:szCs w:val="22"/>
          <w:lang w:val="en"/>
        </w:rPr>
        <w:t>validity-construct:</w:t>
      </w:r>
      <w:r w:rsidR="00514DAE">
        <w:rPr>
          <w:sz w:val="22"/>
          <w:szCs w:val="22"/>
          <w:lang w:val="en"/>
        </w:rPr>
        <w:t xml:space="preserve"> </w:t>
      </w:r>
      <w:r w:rsidR="00AE6942" w:rsidRPr="00967C89">
        <w:rPr>
          <w:b/>
          <w:sz w:val="22"/>
          <w:szCs w:val="22"/>
          <w:lang w:val="en"/>
        </w:rPr>
        <w:t>convergent validity</w:t>
      </w:r>
      <w:r w:rsidR="00AE6942" w:rsidRPr="00967C89">
        <w:rPr>
          <w:sz w:val="22"/>
          <w:szCs w:val="22"/>
          <w:lang w:val="en"/>
        </w:rPr>
        <w:t xml:space="preserve"> </w:t>
      </w:r>
    </w:p>
    <w:p w:rsidR="00172BDF" w:rsidRPr="00967C89" w:rsidRDefault="00172BDF">
      <w:pPr>
        <w:rPr>
          <w:color w:val="505050"/>
          <w:sz w:val="22"/>
          <w:szCs w:val="22"/>
          <w:lang w:val="en"/>
        </w:rPr>
      </w:pPr>
    </w:p>
    <w:p w:rsidR="00AE6942" w:rsidRPr="00514DAE" w:rsidRDefault="004808EA" w:rsidP="00967C89">
      <w:pPr>
        <w:pStyle w:val="ListParagraph"/>
        <w:numPr>
          <w:ilvl w:val="0"/>
          <w:numId w:val="4"/>
        </w:numPr>
        <w:rPr>
          <w:sz w:val="22"/>
          <w:szCs w:val="22"/>
        </w:rPr>
      </w:pPr>
      <w:r w:rsidRPr="00967C89">
        <w:rPr>
          <w:sz w:val="22"/>
          <w:szCs w:val="22"/>
          <w:lang w:val="en"/>
        </w:rPr>
        <w:t xml:space="preserve">There was weak negative correlation of the total FAMCARE score with the CNAT-C domain of "family and social support" (r = -0.13). </w:t>
      </w:r>
      <w:r w:rsidRPr="00967C89">
        <w:rPr>
          <w:sz w:val="22"/>
          <w:szCs w:val="22"/>
          <w:lang w:val="en"/>
        </w:rPr>
        <w:t xml:space="preserve"> </w:t>
      </w:r>
      <w:r w:rsidR="00514DAE" w:rsidRPr="00514DAE">
        <w:rPr>
          <w:b/>
          <w:sz w:val="22"/>
          <w:szCs w:val="22"/>
          <w:lang w:val="en"/>
        </w:rPr>
        <w:t>validity- construct:</w:t>
      </w:r>
      <w:r w:rsidR="00514DAE">
        <w:rPr>
          <w:sz w:val="22"/>
          <w:szCs w:val="22"/>
          <w:lang w:val="en"/>
        </w:rPr>
        <w:t xml:space="preserve"> </w:t>
      </w:r>
      <w:r w:rsidR="00514DAE">
        <w:rPr>
          <w:b/>
          <w:sz w:val="22"/>
          <w:szCs w:val="22"/>
          <w:lang w:val="en"/>
        </w:rPr>
        <w:t>discriminant</w:t>
      </w:r>
      <w:r w:rsidR="00AE6942" w:rsidRPr="00967C89">
        <w:rPr>
          <w:b/>
          <w:sz w:val="22"/>
          <w:szCs w:val="22"/>
          <w:lang w:val="en"/>
        </w:rPr>
        <w:t xml:space="preserve"> validity</w:t>
      </w:r>
      <w:r w:rsidR="00AE6942" w:rsidRPr="00967C89">
        <w:rPr>
          <w:sz w:val="22"/>
          <w:szCs w:val="22"/>
          <w:lang w:val="en"/>
        </w:rPr>
        <w:t xml:space="preserve"> </w:t>
      </w:r>
    </w:p>
    <w:p w:rsidR="00514DAE" w:rsidRPr="00514DAE" w:rsidRDefault="00514DAE" w:rsidP="00514DAE">
      <w:pPr>
        <w:pStyle w:val="ListParagraph"/>
        <w:rPr>
          <w:sz w:val="22"/>
          <w:szCs w:val="22"/>
        </w:rPr>
      </w:pPr>
    </w:p>
    <w:p w:rsidR="00514DAE" w:rsidRPr="00514DAE" w:rsidRDefault="00514DAE" w:rsidP="00967C89">
      <w:pPr>
        <w:pStyle w:val="ListParagraph"/>
        <w:numPr>
          <w:ilvl w:val="0"/>
          <w:numId w:val="4"/>
        </w:numPr>
        <w:rPr>
          <w:b/>
          <w:sz w:val="22"/>
          <w:szCs w:val="22"/>
        </w:rPr>
      </w:pPr>
      <w:r>
        <w:rPr>
          <w:sz w:val="22"/>
          <w:szCs w:val="22"/>
        </w:rPr>
        <w:t xml:space="preserve">Do you see a mistake in this abstract? </w:t>
      </w:r>
      <w:r w:rsidRPr="00514DAE">
        <w:rPr>
          <w:b/>
          <w:sz w:val="22"/>
          <w:szCs w:val="22"/>
        </w:rPr>
        <w:t>It is written as “</w:t>
      </w:r>
      <w:r w:rsidRPr="00514DAE">
        <w:rPr>
          <w:b/>
          <w:sz w:val="22"/>
          <w:szCs w:val="22"/>
          <w:u w:val="single"/>
          <w:lang w:val="en"/>
        </w:rPr>
        <w:t>moderate negative correlation</w:t>
      </w:r>
      <w:r w:rsidRPr="00514DAE">
        <w:rPr>
          <w:b/>
          <w:sz w:val="22"/>
          <w:szCs w:val="22"/>
          <w:lang w:val="en"/>
        </w:rPr>
        <w:t xml:space="preserve"> of the total FAMCARE score with the CNAT-C "Healthcare Staff" domain</w:t>
      </w:r>
      <w:r w:rsidRPr="00514DAE">
        <w:rPr>
          <w:b/>
          <w:sz w:val="22"/>
          <w:szCs w:val="22"/>
          <w:lang w:val="en"/>
        </w:rPr>
        <w:t>” yet the correlation is expressed as a positive value “</w:t>
      </w:r>
      <w:r w:rsidRPr="00514DAE">
        <w:rPr>
          <w:b/>
          <w:sz w:val="22"/>
          <w:szCs w:val="22"/>
          <w:lang w:val="en"/>
        </w:rPr>
        <w:t xml:space="preserve"> (r = 0.41</w:t>
      </w:r>
      <w:r w:rsidRPr="00514DAE">
        <w:rPr>
          <w:b/>
          <w:sz w:val="22"/>
          <w:szCs w:val="22"/>
          <w:lang w:val="en"/>
        </w:rPr>
        <w:t xml:space="preserve">)” </w:t>
      </w:r>
    </w:p>
    <w:sectPr w:rsidR="00514DAE" w:rsidRPr="00514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A41A5"/>
    <w:multiLevelType w:val="hybridMultilevel"/>
    <w:tmpl w:val="0E146C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691A84"/>
    <w:multiLevelType w:val="hybridMultilevel"/>
    <w:tmpl w:val="C3A89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D2319"/>
    <w:multiLevelType w:val="hybridMultilevel"/>
    <w:tmpl w:val="2438F2CE"/>
    <w:lvl w:ilvl="0" w:tplc="38267280">
      <w:start w:val="1"/>
      <w:numFmt w:val="lowerLetter"/>
      <w:lvlText w:val="%1)"/>
      <w:lvlJc w:val="left"/>
      <w:pPr>
        <w:ind w:left="720" w:hanging="36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95BC3"/>
    <w:multiLevelType w:val="hybridMultilevel"/>
    <w:tmpl w:val="9B72CB1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B59"/>
    <w:rsid w:val="00145D40"/>
    <w:rsid w:val="00172BDF"/>
    <w:rsid w:val="001B1DF7"/>
    <w:rsid w:val="002B1059"/>
    <w:rsid w:val="004808EA"/>
    <w:rsid w:val="00511E1D"/>
    <w:rsid w:val="00514DAE"/>
    <w:rsid w:val="00967C89"/>
    <w:rsid w:val="00AE6942"/>
    <w:rsid w:val="00C34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B6C35"/>
  <w15:chartTrackingRefBased/>
  <w15:docId w15:val="{AB9DED14-1376-4FB6-8C58-451DF2FC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B5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1B1D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72BDF"/>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C34B59"/>
    <w:pPr>
      <w:spacing w:before="332" w:after="166"/>
      <w:outlineLvl w:val="3"/>
    </w:pPr>
    <w:rPr>
      <w:b/>
      <w:bCs/>
      <w:color w:val="5933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34B59"/>
    <w:rPr>
      <w:rFonts w:ascii="Times New Roman" w:eastAsia="Times New Roman" w:hAnsi="Times New Roman" w:cs="Times New Roman"/>
      <w:b/>
      <w:bCs/>
      <w:color w:val="59331F"/>
      <w:sz w:val="24"/>
      <w:szCs w:val="24"/>
    </w:rPr>
  </w:style>
  <w:style w:type="character" w:customStyle="1" w:styleId="highlight2">
    <w:name w:val="highlight2"/>
    <w:rsid w:val="00C34B59"/>
  </w:style>
  <w:style w:type="character" w:customStyle="1" w:styleId="Heading1Char">
    <w:name w:val="Heading 1 Char"/>
    <w:basedOn w:val="DefaultParagraphFont"/>
    <w:link w:val="Heading1"/>
    <w:uiPriority w:val="9"/>
    <w:rsid w:val="001B1DF7"/>
    <w:rPr>
      <w:rFonts w:asciiTheme="majorHAnsi" w:eastAsiaTheme="majorEastAsia" w:hAnsiTheme="majorHAnsi" w:cstheme="majorBidi"/>
      <w:color w:val="2E74B5" w:themeColor="accent1" w:themeShade="BF"/>
      <w:sz w:val="32"/>
      <w:szCs w:val="32"/>
    </w:rPr>
  </w:style>
  <w:style w:type="character" w:customStyle="1" w:styleId="highlight">
    <w:name w:val="highlight"/>
    <w:basedOn w:val="DefaultParagraphFont"/>
    <w:rsid w:val="001B1DF7"/>
  </w:style>
  <w:style w:type="character" w:customStyle="1" w:styleId="Heading3Char">
    <w:name w:val="Heading 3 Char"/>
    <w:basedOn w:val="DefaultParagraphFont"/>
    <w:link w:val="Heading3"/>
    <w:uiPriority w:val="9"/>
    <w:semiHidden/>
    <w:rsid w:val="00172BDF"/>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172BDF"/>
    <w:pPr>
      <w:spacing w:before="100" w:beforeAutospacing="1" w:after="100" w:afterAutospacing="1"/>
    </w:pPr>
  </w:style>
  <w:style w:type="character" w:customStyle="1" w:styleId="ui-ncbitoggler-master-text">
    <w:name w:val="ui-ncbitoggler-master-text"/>
    <w:basedOn w:val="DefaultParagraphFont"/>
    <w:rsid w:val="00172BDF"/>
  </w:style>
  <w:style w:type="paragraph" w:styleId="ListParagraph">
    <w:name w:val="List Paragraph"/>
    <w:basedOn w:val="Normal"/>
    <w:uiPriority w:val="34"/>
    <w:qFormat/>
    <w:rsid w:val="00511E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5142381">
      <w:bodyDiv w:val="1"/>
      <w:marLeft w:val="0"/>
      <w:marRight w:val="0"/>
      <w:marTop w:val="0"/>
      <w:marBottom w:val="0"/>
      <w:divBdr>
        <w:top w:val="none" w:sz="0" w:space="0" w:color="auto"/>
        <w:left w:val="none" w:sz="0" w:space="0" w:color="auto"/>
        <w:bottom w:val="none" w:sz="0" w:space="0" w:color="auto"/>
        <w:right w:val="none" w:sz="0" w:space="0" w:color="auto"/>
      </w:divBdr>
      <w:divsChild>
        <w:div w:id="1148740112">
          <w:marLeft w:val="0"/>
          <w:marRight w:val="1"/>
          <w:marTop w:val="0"/>
          <w:marBottom w:val="0"/>
          <w:divBdr>
            <w:top w:val="none" w:sz="0" w:space="0" w:color="auto"/>
            <w:left w:val="none" w:sz="0" w:space="0" w:color="auto"/>
            <w:bottom w:val="none" w:sz="0" w:space="0" w:color="auto"/>
            <w:right w:val="none" w:sz="0" w:space="0" w:color="auto"/>
          </w:divBdr>
          <w:divsChild>
            <w:div w:id="1672641740">
              <w:marLeft w:val="0"/>
              <w:marRight w:val="0"/>
              <w:marTop w:val="0"/>
              <w:marBottom w:val="0"/>
              <w:divBdr>
                <w:top w:val="none" w:sz="0" w:space="0" w:color="auto"/>
                <w:left w:val="none" w:sz="0" w:space="0" w:color="auto"/>
                <w:bottom w:val="none" w:sz="0" w:space="0" w:color="auto"/>
                <w:right w:val="none" w:sz="0" w:space="0" w:color="auto"/>
              </w:divBdr>
              <w:divsChild>
                <w:div w:id="1462914957">
                  <w:marLeft w:val="0"/>
                  <w:marRight w:val="1"/>
                  <w:marTop w:val="0"/>
                  <w:marBottom w:val="0"/>
                  <w:divBdr>
                    <w:top w:val="none" w:sz="0" w:space="0" w:color="auto"/>
                    <w:left w:val="none" w:sz="0" w:space="0" w:color="auto"/>
                    <w:bottom w:val="none" w:sz="0" w:space="0" w:color="auto"/>
                    <w:right w:val="none" w:sz="0" w:space="0" w:color="auto"/>
                  </w:divBdr>
                  <w:divsChild>
                    <w:div w:id="939291104">
                      <w:marLeft w:val="0"/>
                      <w:marRight w:val="0"/>
                      <w:marTop w:val="0"/>
                      <w:marBottom w:val="0"/>
                      <w:divBdr>
                        <w:top w:val="none" w:sz="0" w:space="0" w:color="auto"/>
                        <w:left w:val="none" w:sz="0" w:space="0" w:color="auto"/>
                        <w:bottom w:val="none" w:sz="0" w:space="0" w:color="auto"/>
                        <w:right w:val="none" w:sz="0" w:space="0" w:color="auto"/>
                      </w:divBdr>
                      <w:divsChild>
                        <w:div w:id="1670475718">
                          <w:marLeft w:val="0"/>
                          <w:marRight w:val="0"/>
                          <w:marTop w:val="0"/>
                          <w:marBottom w:val="0"/>
                          <w:divBdr>
                            <w:top w:val="none" w:sz="0" w:space="0" w:color="auto"/>
                            <w:left w:val="none" w:sz="0" w:space="0" w:color="auto"/>
                            <w:bottom w:val="none" w:sz="0" w:space="0" w:color="auto"/>
                            <w:right w:val="none" w:sz="0" w:space="0" w:color="auto"/>
                          </w:divBdr>
                          <w:divsChild>
                            <w:div w:id="1100487764">
                              <w:marLeft w:val="0"/>
                              <w:marRight w:val="0"/>
                              <w:marTop w:val="120"/>
                              <w:marBottom w:val="360"/>
                              <w:divBdr>
                                <w:top w:val="none" w:sz="0" w:space="0" w:color="auto"/>
                                <w:left w:val="none" w:sz="0" w:space="0" w:color="auto"/>
                                <w:bottom w:val="none" w:sz="0" w:space="0" w:color="auto"/>
                                <w:right w:val="none" w:sz="0" w:space="0" w:color="auto"/>
                              </w:divBdr>
                              <w:divsChild>
                                <w:div w:id="1149596029">
                                  <w:marLeft w:val="0"/>
                                  <w:marRight w:val="0"/>
                                  <w:marTop w:val="0"/>
                                  <w:marBottom w:val="0"/>
                                  <w:divBdr>
                                    <w:top w:val="none" w:sz="0" w:space="0" w:color="auto"/>
                                    <w:left w:val="none" w:sz="0" w:space="0" w:color="auto"/>
                                    <w:bottom w:val="none" w:sz="0" w:space="0" w:color="auto"/>
                                    <w:right w:val="none" w:sz="0" w:space="0" w:color="auto"/>
                                  </w:divBdr>
                                </w:div>
                                <w:div w:id="2115861276">
                                  <w:marLeft w:val="0"/>
                                  <w:marRight w:val="0"/>
                                  <w:marTop w:val="0"/>
                                  <w:marBottom w:val="0"/>
                                  <w:divBdr>
                                    <w:top w:val="none" w:sz="0" w:space="0" w:color="auto"/>
                                    <w:left w:val="none" w:sz="0" w:space="0" w:color="auto"/>
                                    <w:bottom w:val="none" w:sz="0" w:space="0" w:color="auto"/>
                                    <w:right w:val="none" w:sz="0" w:space="0" w:color="auto"/>
                                  </w:divBdr>
                                </w:div>
                                <w:div w:id="873930008">
                                  <w:marLeft w:val="0"/>
                                  <w:marRight w:val="0"/>
                                  <w:marTop w:val="0"/>
                                  <w:marBottom w:val="0"/>
                                  <w:divBdr>
                                    <w:top w:val="none" w:sz="0" w:space="0" w:color="auto"/>
                                    <w:left w:val="none" w:sz="0" w:space="0" w:color="auto"/>
                                    <w:bottom w:val="none" w:sz="0" w:space="0" w:color="auto"/>
                                    <w:right w:val="none" w:sz="0" w:space="0" w:color="auto"/>
                                  </w:divBdr>
                                  <w:divsChild>
                                    <w:div w:id="2131586994">
                                      <w:marLeft w:val="0"/>
                                      <w:marRight w:val="0"/>
                                      <w:marTop w:val="0"/>
                                      <w:marBottom w:val="0"/>
                                      <w:divBdr>
                                        <w:top w:val="none" w:sz="0" w:space="0" w:color="auto"/>
                                        <w:left w:val="none" w:sz="0" w:space="0" w:color="auto"/>
                                        <w:bottom w:val="none" w:sz="0" w:space="0" w:color="auto"/>
                                        <w:right w:val="none" w:sz="0" w:space="0" w:color="auto"/>
                                      </w:divBdr>
                                    </w:div>
                                  </w:divsChild>
                                </w:div>
                                <w:div w:id="891573823">
                                  <w:marLeft w:val="0"/>
                                  <w:marRight w:val="0"/>
                                  <w:marTop w:val="0"/>
                                  <w:marBottom w:val="0"/>
                                  <w:divBdr>
                                    <w:top w:val="none" w:sz="0" w:space="0" w:color="auto"/>
                                    <w:left w:val="none" w:sz="0" w:space="0" w:color="auto"/>
                                    <w:bottom w:val="none" w:sz="0" w:space="0" w:color="auto"/>
                                    <w:right w:val="none" w:sz="0" w:space="0" w:color="auto"/>
                                  </w:divBdr>
                                  <w:divsChild>
                                    <w:div w:id="10723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76323">
      <w:bodyDiv w:val="1"/>
      <w:marLeft w:val="0"/>
      <w:marRight w:val="0"/>
      <w:marTop w:val="0"/>
      <w:marBottom w:val="0"/>
      <w:divBdr>
        <w:top w:val="none" w:sz="0" w:space="0" w:color="auto"/>
        <w:left w:val="none" w:sz="0" w:space="0" w:color="auto"/>
        <w:bottom w:val="none" w:sz="0" w:space="0" w:color="auto"/>
        <w:right w:val="none" w:sz="0" w:space="0" w:color="auto"/>
      </w:divBdr>
      <w:divsChild>
        <w:div w:id="1349139155">
          <w:marLeft w:val="0"/>
          <w:marRight w:val="1"/>
          <w:marTop w:val="0"/>
          <w:marBottom w:val="0"/>
          <w:divBdr>
            <w:top w:val="none" w:sz="0" w:space="0" w:color="auto"/>
            <w:left w:val="none" w:sz="0" w:space="0" w:color="auto"/>
            <w:bottom w:val="none" w:sz="0" w:space="0" w:color="auto"/>
            <w:right w:val="none" w:sz="0" w:space="0" w:color="auto"/>
          </w:divBdr>
          <w:divsChild>
            <w:div w:id="670841121">
              <w:marLeft w:val="0"/>
              <w:marRight w:val="0"/>
              <w:marTop w:val="0"/>
              <w:marBottom w:val="0"/>
              <w:divBdr>
                <w:top w:val="none" w:sz="0" w:space="0" w:color="auto"/>
                <w:left w:val="none" w:sz="0" w:space="0" w:color="auto"/>
                <w:bottom w:val="none" w:sz="0" w:space="0" w:color="auto"/>
                <w:right w:val="none" w:sz="0" w:space="0" w:color="auto"/>
              </w:divBdr>
              <w:divsChild>
                <w:div w:id="2022580587">
                  <w:marLeft w:val="0"/>
                  <w:marRight w:val="1"/>
                  <w:marTop w:val="0"/>
                  <w:marBottom w:val="0"/>
                  <w:divBdr>
                    <w:top w:val="none" w:sz="0" w:space="0" w:color="auto"/>
                    <w:left w:val="none" w:sz="0" w:space="0" w:color="auto"/>
                    <w:bottom w:val="none" w:sz="0" w:space="0" w:color="auto"/>
                    <w:right w:val="none" w:sz="0" w:space="0" w:color="auto"/>
                  </w:divBdr>
                  <w:divsChild>
                    <w:div w:id="1922443076">
                      <w:marLeft w:val="0"/>
                      <w:marRight w:val="0"/>
                      <w:marTop w:val="0"/>
                      <w:marBottom w:val="0"/>
                      <w:divBdr>
                        <w:top w:val="none" w:sz="0" w:space="0" w:color="auto"/>
                        <w:left w:val="none" w:sz="0" w:space="0" w:color="auto"/>
                        <w:bottom w:val="none" w:sz="0" w:space="0" w:color="auto"/>
                        <w:right w:val="none" w:sz="0" w:space="0" w:color="auto"/>
                      </w:divBdr>
                      <w:divsChild>
                        <w:div w:id="1735539716">
                          <w:marLeft w:val="0"/>
                          <w:marRight w:val="0"/>
                          <w:marTop w:val="0"/>
                          <w:marBottom w:val="0"/>
                          <w:divBdr>
                            <w:top w:val="none" w:sz="0" w:space="0" w:color="auto"/>
                            <w:left w:val="none" w:sz="0" w:space="0" w:color="auto"/>
                            <w:bottom w:val="none" w:sz="0" w:space="0" w:color="auto"/>
                            <w:right w:val="none" w:sz="0" w:space="0" w:color="auto"/>
                          </w:divBdr>
                          <w:divsChild>
                            <w:div w:id="44566007">
                              <w:marLeft w:val="0"/>
                              <w:marRight w:val="0"/>
                              <w:marTop w:val="120"/>
                              <w:marBottom w:val="360"/>
                              <w:divBdr>
                                <w:top w:val="none" w:sz="0" w:space="0" w:color="auto"/>
                                <w:left w:val="none" w:sz="0" w:space="0" w:color="auto"/>
                                <w:bottom w:val="none" w:sz="0" w:space="0" w:color="auto"/>
                                <w:right w:val="none" w:sz="0" w:space="0" w:color="auto"/>
                              </w:divBdr>
                              <w:divsChild>
                                <w:div w:id="862017906">
                                  <w:marLeft w:val="0"/>
                                  <w:marRight w:val="0"/>
                                  <w:marTop w:val="0"/>
                                  <w:marBottom w:val="0"/>
                                  <w:divBdr>
                                    <w:top w:val="none" w:sz="0" w:space="0" w:color="auto"/>
                                    <w:left w:val="none" w:sz="0" w:space="0" w:color="auto"/>
                                    <w:bottom w:val="none" w:sz="0" w:space="0" w:color="auto"/>
                                    <w:right w:val="none" w:sz="0" w:space="0" w:color="auto"/>
                                  </w:divBdr>
                                </w:div>
                                <w:div w:id="32771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term=Johanson%20C%5BAuthor%5D&amp;cauthor=true&amp;cauthor_uid=26783859" TargetMode="External"/><Relationship Id="rId13" Type="http://schemas.openxmlformats.org/officeDocument/2006/relationships/hyperlink" Target="https://www.ncbi.nlm.nih.gov/pubmed/2678385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ubmed/?term=Singh%20A%5BAuthor%5D&amp;cauthor=true&amp;cauthor_uid=26783859" TargetMode="External"/><Relationship Id="rId12" Type="http://schemas.openxmlformats.org/officeDocument/2006/relationships/hyperlink" Target="https://www.ncbi.nlm.nih.gov/pubmed/?term=Rosenberg%20E%5BAuthor%5D&amp;cauthor=true&amp;cauthor_uid=26783859" TargetMode="External"/><Relationship Id="rId17" Type="http://schemas.openxmlformats.org/officeDocument/2006/relationships/hyperlink" Target="https://www.ncbi.nlm.nih.gov/pubmed/31349035" TargetMode="External"/><Relationship Id="rId2" Type="http://schemas.openxmlformats.org/officeDocument/2006/relationships/styles" Target="styles.xml"/><Relationship Id="rId16" Type="http://schemas.openxmlformats.org/officeDocument/2006/relationships/hyperlink" Target="https://www.ncbi.nlm.nih.gov/pubmed/?term=Cheung%20YB%5BAuthor%5D&amp;cauthor=true&amp;cauthor_uid=31349035" TargetMode="External"/><Relationship Id="rId1" Type="http://schemas.openxmlformats.org/officeDocument/2006/relationships/numbering" Target="numbering.xml"/><Relationship Id="rId6" Type="http://schemas.openxmlformats.org/officeDocument/2006/relationships/hyperlink" Target="https://www.ncbi.nlm.nih.gov/pubmed/?term=MacPhee%20H%5BAuthor%5D&amp;cauthor=true&amp;cauthor_uid=26783859" TargetMode="External"/><Relationship Id="rId11" Type="http://schemas.openxmlformats.org/officeDocument/2006/relationships/hyperlink" Target="https://www.ncbi.nlm.nih.gov/pubmed/?term=MacLean%20R%5BAuthor%5D&amp;cauthor=true&amp;cauthor_uid=26783859" TargetMode="External"/><Relationship Id="rId5" Type="http://schemas.openxmlformats.org/officeDocument/2006/relationships/hyperlink" Target="https://www.ncbi.nlm.nih.gov/pubmed/?term=Kanji%20S%5BAuthor%5D&amp;cauthor=true&amp;cauthor_uid=26783859" TargetMode="External"/><Relationship Id="rId15" Type="http://schemas.openxmlformats.org/officeDocument/2006/relationships/hyperlink" Target="https://www.ncbi.nlm.nih.gov/pubmed/?term=Kanesvaran%20R%5BAuthor%5D&amp;cauthor=true&amp;cauthor_uid=31349035" TargetMode="External"/><Relationship Id="rId10" Type="http://schemas.openxmlformats.org/officeDocument/2006/relationships/hyperlink" Target="https://www.ncbi.nlm.nih.gov/pubmed/?term=Lloyd%20T%5BAuthor%5D&amp;cauthor=true&amp;cauthor_uid=2678385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cbi.nlm.nih.gov/pubmed/?term=Fairbairn%20J%5BAuthor%5D&amp;cauthor=true&amp;cauthor_uid=26783859" TargetMode="External"/><Relationship Id="rId14" Type="http://schemas.openxmlformats.org/officeDocument/2006/relationships/hyperlink" Target="https://www.ncbi.nlm.nih.gov/pubmed/?term=Mei-Juan%20Yang%20G%5BAuthor%5D&amp;cauthor=true&amp;cauthor_uid=313490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1259</Words>
  <Characters>7181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Maryland School of Nursing</Company>
  <LinksUpToDate>false</LinksUpToDate>
  <CharactersWithSpaces>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Storr, Carla</dc:creator>
  <cp:keywords/>
  <dc:description/>
  <cp:lastModifiedBy>Storr, Carla</cp:lastModifiedBy>
  <cp:revision>3</cp:revision>
  <dcterms:created xsi:type="dcterms:W3CDTF">2019-08-08T13:51:00Z</dcterms:created>
  <dcterms:modified xsi:type="dcterms:W3CDTF">2019-08-08T15:51:00Z</dcterms:modified>
</cp:coreProperties>
</file>